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22747" w14:textId="7803FA09" w:rsidR="001E4A7A" w:rsidRPr="005A793F" w:rsidRDefault="0000655A" w:rsidP="00E0663B">
      <w:pPr>
        <w:pStyle w:val="Word"/>
        <w:jc w:val="center"/>
        <w:rPr>
          <w:rFonts w:hint="default"/>
          <w:color w:val="auto"/>
          <w:spacing w:val="-1"/>
        </w:rPr>
      </w:pPr>
      <w:r w:rsidRPr="005A793F">
        <w:rPr>
          <w:color w:val="auto"/>
          <w:spacing w:val="-1"/>
        </w:rPr>
        <w:t>燃油価格高騰緊急対策</w:t>
      </w:r>
      <w:r w:rsidR="00E0663B">
        <w:rPr>
          <w:color w:val="auto"/>
          <w:spacing w:val="-1"/>
        </w:rPr>
        <w:t>業務方法書（作成例）</w:t>
      </w:r>
    </w:p>
    <w:p w14:paraId="5029B645" w14:textId="77777777" w:rsidR="0000655A" w:rsidRPr="005A793F" w:rsidRDefault="007F6C04">
      <w:pPr>
        <w:pStyle w:val="Word"/>
        <w:jc w:val="center"/>
        <w:rPr>
          <w:rFonts w:hint="default"/>
          <w:color w:val="auto"/>
        </w:rPr>
      </w:pPr>
      <w:r>
        <w:rPr>
          <w:color w:val="auto"/>
        </w:rPr>
        <w:t>新旧対照表</w:t>
      </w:r>
    </w:p>
    <w:p w14:paraId="6B4248FC" w14:textId="77777777" w:rsidR="0000655A" w:rsidRDefault="0000655A">
      <w:pPr>
        <w:pStyle w:val="Word"/>
        <w:jc w:val="left"/>
        <w:rPr>
          <w:rFonts w:hint="default"/>
          <w:color w:val="auto"/>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90"/>
        <w:gridCol w:w="6890"/>
      </w:tblGrid>
      <w:tr w:rsidR="0012048C" w14:paraId="20CC25FC" w14:textId="77777777" w:rsidTr="00D349D3">
        <w:trPr>
          <w:trHeight w:val="345"/>
        </w:trPr>
        <w:tc>
          <w:tcPr>
            <w:tcW w:w="6961" w:type="dxa"/>
          </w:tcPr>
          <w:p w14:paraId="68F6D62B" w14:textId="77777777" w:rsidR="0012048C" w:rsidRDefault="0012048C" w:rsidP="0012048C">
            <w:pPr>
              <w:pStyle w:val="Word"/>
              <w:jc w:val="center"/>
              <w:rPr>
                <w:rFonts w:hint="default"/>
                <w:color w:val="auto"/>
              </w:rPr>
            </w:pPr>
            <w:r>
              <w:rPr>
                <w:color w:val="auto"/>
              </w:rPr>
              <w:t>改正案</w:t>
            </w:r>
          </w:p>
        </w:tc>
        <w:tc>
          <w:tcPr>
            <w:tcW w:w="6961" w:type="dxa"/>
          </w:tcPr>
          <w:p w14:paraId="60831BBE" w14:textId="77777777" w:rsidR="0012048C" w:rsidRDefault="0012048C" w:rsidP="0012048C">
            <w:pPr>
              <w:pStyle w:val="Word"/>
              <w:jc w:val="center"/>
              <w:rPr>
                <w:rFonts w:hint="default"/>
                <w:color w:val="auto"/>
              </w:rPr>
            </w:pPr>
            <w:r>
              <w:rPr>
                <w:color w:val="auto"/>
              </w:rPr>
              <w:t>現行</w:t>
            </w:r>
          </w:p>
        </w:tc>
      </w:tr>
      <w:tr w:rsidR="0012048C" w:rsidRPr="00A06CBE" w14:paraId="17059D79" w14:textId="77777777" w:rsidTr="00284623">
        <w:trPr>
          <w:trHeight w:val="3543"/>
        </w:trPr>
        <w:tc>
          <w:tcPr>
            <w:tcW w:w="6961" w:type="dxa"/>
          </w:tcPr>
          <w:p w14:paraId="52DA05D8" w14:textId="77777777" w:rsidR="0062353B" w:rsidRDefault="0062353B" w:rsidP="0062353B">
            <w:pPr>
              <w:jc w:val="center"/>
              <w:rPr>
                <w:rFonts w:hint="default"/>
              </w:rPr>
            </w:pPr>
            <w:r w:rsidRPr="008F1A93">
              <w:rPr>
                <w:color w:val="auto"/>
              </w:rPr>
              <w:t>施設園芸等燃油価格高騰対策業務方法書</w:t>
            </w:r>
            <w:r>
              <w:t>（作成例）</w:t>
            </w:r>
          </w:p>
          <w:p w14:paraId="111F0C62" w14:textId="77777777" w:rsidR="0062353B" w:rsidRDefault="0062353B" w:rsidP="0062353B">
            <w:pPr>
              <w:jc w:val="center"/>
              <w:rPr>
                <w:rFonts w:hint="default"/>
              </w:rPr>
            </w:pPr>
          </w:p>
          <w:p w14:paraId="6F2AC811" w14:textId="77777777" w:rsidR="0062353B" w:rsidRDefault="0062353B" w:rsidP="0062353B">
            <w:pPr>
              <w:jc w:val="center"/>
              <w:rPr>
                <w:rFonts w:hint="default"/>
              </w:rPr>
            </w:pPr>
            <w:r>
              <w:t>第１章　総則</w:t>
            </w:r>
          </w:p>
          <w:p w14:paraId="574A246B" w14:textId="77777777" w:rsidR="00D349D3" w:rsidRPr="00DB03EF" w:rsidRDefault="0062353B" w:rsidP="00D349D3">
            <w:pPr>
              <w:jc w:val="left"/>
              <w:rPr>
                <w:rFonts w:hint="default"/>
              </w:rPr>
            </w:pPr>
            <w:r>
              <w:t>（目的）</w:t>
            </w:r>
          </w:p>
          <w:p w14:paraId="5263FA9B" w14:textId="1258C0E3" w:rsidR="00D349D3" w:rsidRDefault="00561313" w:rsidP="008F1A93">
            <w:pPr>
              <w:ind w:left="283" w:hangingChars="118" w:hanging="283"/>
              <w:jc w:val="left"/>
              <w:rPr>
                <w:rFonts w:hint="default"/>
              </w:rPr>
            </w:pPr>
            <w:r w:rsidRPr="00DB03EF">
              <w:t>第１条</w:t>
            </w:r>
            <w:r w:rsidR="008F1A93">
              <w:t>～第</w:t>
            </w:r>
            <w:r w:rsidR="004E7A87">
              <w:t>４</w:t>
            </w:r>
            <w:r w:rsidR="008F1A93">
              <w:t>条　（略）</w:t>
            </w:r>
            <w:r w:rsidRPr="00DB03EF">
              <w:t xml:space="preserve">　</w:t>
            </w:r>
          </w:p>
          <w:p w14:paraId="71EC722B" w14:textId="77777777" w:rsidR="00D4242B" w:rsidRDefault="00D4242B" w:rsidP="008F1A93">
            <w:pPr>
              <w:ind w:left="283" w:hangingChars="118" w:hanging="283"/>
              <w:jc w:val="left"/>
              <w:rPr>
                <w:rFonts w:hint="default"/>
              </w:rPr>
            </w:pPr>
          </w:p>
          <w:p w14:paraId="3D718876" w14:textId="77777777" w:rsidR="00D4242B" w:rsidRPr="00D4242B" w:rsidRDefault="00D4242B" w:rsidP="00D4242B">
            <w:pPr>
              <w:jc w:val="left"/>
              <w:textAlignment w:val="auto"/>
              <w:rPr>
                <w:rFonts w:cs="Times New Roman" w:hint="default"/>
                <w:color w:val="auto"/>
                <w:kern w:val="2"/>
                <w:szCs w:val="22"/>
              </w:rPr>
            </w:pPr>
            <w:r w:rsidRPr="00D4242B">
              <w:rPr>
                <w:rFonts w:cs="Times New Roman"/>
                <w:color w:val="auto"/>
                <w:kern w:val="2"/>
                <w:szCs w:val="22"/>
              </w:rPr>
              <w:t>（支援対象者）</w:t>
            </w:r>
          </w:p>
          <w:p w14:paraId="21D28836" w14:textId="77777777" w:rsidR="00B6349E" w:rsidRPr="00B6349E" w:rsidRDefault="00B6349E" w:rsidP="00B6349E">
            <w:pPr>
              <w:ind w:left="283" w:hangingChars="118" w:hanging="283"/>
              <w:jc w:val="left"/>
              <w:textAlignment w:val="auto"/>
              <w:rPr>
                <w:rFonts w:asciiTheme="minorEastAsia" w:eastAsiaTheme="minorEastAsia" w:hAnsiTheme="minorEastAsia" w:cs="Times New Roman" w:hint="default"/>
                <w:color w:val="auto"/>
                <w:kern w:val="2"/>
                <w:szCs w:val="22"/>
              </w:rPr>
            </w:pPr>
            <w:r w:rsidRPr="00B6349E">
              <w:rPr>
                <w:rFonts w:asciiTheme="minorEastAsia" w:eastAsiaTheme="minorEastAsia" w:hAnsiTheme="minorEastAsia" w:cs="Times New Roman"/>
                <w:color w:val="auto"/>
                <w:kern w:val="2"/>
                <w:szCs w:val="22"/>
              </w:rPr>
              <w:t xml:space="preserve">第５条　</w:t>
            </w:r>
            <w:r w:rsidRPr="00D4242B">
              <w:rPr>
                <w:rFonts w:asciiTheme="minorEastAsia" w:eastAsiaTheme="minorEastAsia" w:hAnsiTheme="minorEastAsia"/>
              </w:rPr>
              <w:t>（略）</w:t>
            </w:r>
          </w:p>
          <w:p w14:paraId="24C03E1C" w14:textId="77777777" w:rsidR="00B6349E" w:rsidRPr="00B6349E" w:rsidRDefault="00B6349E" w:rsidP="00B6349E">
            <w:pPr>
              <w:ind w:left="425" w:hangingChars="177" w:hanging="425"/>
              <w:jc w:val="left"/>
              <w:textAlignment w:val="auto"/>
              <w:rPr>
                <w:rFonts w:asciiTheme="minorEastAsia" w:eastAsiaTheme="minorEastAsia" w:hAnsiTheme="minorEastAsia" w:cs="ＭＳ 明朝" w:hint="default"/>
                <w:color w:val="auto"/>
              </w:rPr>
            </w:pPr>
            <w:r w:rsidRPr="00B6349E">
              <w:rPr>
                <w:rFonts w:asciiTheme="minorEastAsia" w:eastAsiaTheme="minorEastAsia" w:hAnsiTheme="minorEastAsia" w:cs="ＭＳ 明朝"/>
                <w:color w:val="auto"/>
              </w:rPr>
              <w:t>（３）省エネルギー等対策推進計画（</w:t>
            </w:r>
            <w:r w:rsidRPr="00B6349E">
              <w:rPr>
                <w:rFonts w:asciiTheme="minorEastAsia" w:eastAsiaTheme="minorEastAsia" w:hAnsiTheme="minorEastAsia" w:cs="Times New Roman"/>
                <w:color w:val="auto"/>
                <w:kern w:val="2"/>
                <w:szCs w:val="22"/>
              </w:rPr>
              <w:t>実施要領第５の２に定めるものをいう。以下同じ。）</w:t>
            </w:r>
            <w:r w:rsidRPr="00B6349E">
              <w:rPr>
                <w:rFonts w:asciiTheme="minorEastAsia" w:eastAsiaTheme="minorEastAsia" w:hAnsiTheme="minorEastAsia" w:cs="ＭＳ 明朝"/>
                <w:color w:val="auto"/>
              </w:rPr>
              <w:t>を定め、次のア又はイの場合に応じて、それぞれ当該ア又はイに定める目標を掲げるとともに、取組内容等からその達成が確実であると認められること。</w:t>
            </w:r>
          </w:p>
          <w:p w14:paraId="7E1B7E60" w14:textId="77777777" w:rsidR="00B6349E" w:rsidRPr="00B6349E" w:rsidRDefault="00B6349E" w:rsidP="00B6349E">
            <w:pPr>
              <w:ind w:left="425" w:hangingChars="177" w:hanging="425"/>
              <w:jc w:val="left"/>
              <w:textAlignment w:val="auto"/>
              <w:rPr>
                <w:rFonts w:asciiTheme="minorEastAsia" w:eastAsiaTheme="minorEastAsia" w:hAnsiTheme="minorEastAsia" w:cs="Times New Roman" w:hint="default"/>
                <w:color w:val="auto"/>
                <w:kern w:val="2"/>
                <w:szCs w:val="22"/>
              </w:rPr>
            </w:pPr>
            <w:r w:rsidRPr="00B6349E">
              <w:rPr>
                <w:rFonts w:asciiTheme="minorEastAsia" w:eastAsiaTheme="minorEastAsia" w:hAnsiTheme="minorEastAsia" w:cs="ＭＳ 明朝"/>
                <w:color w:val="auto"/>
              </w:rPr>
              <w:t xml:space="preserve">　　　なお、省エネルギー等対策推進計画の目標達成に向け不断に取り組むこととともに、民間の金融商品や備蓄タンク等を活用して、燃油コストの変動の抑制に取り組むことが望ましい。</w:t>
            </w:r>
          </w:p>
          <w:p w14:paraId="7FCC30A4" w14:textId="5B1DBABC" w:rsidR="00B6349E" w:rsidRPr="00B6349E" w:rsidRDefault="00B6349E" w:rsidP="00B6349E">
            <w:pPr>
              <w:ind w:leftChars="205" w:left="708" w:hangingChars="90" w:hanging="216"/>
              <w:jc w:val="left"/>
              <w:textAlignment w:val="auto"/>
              <w:rPr>
                <w:rFonts w:asciiTheme="minorEastAsia" w:eastAsiaTheme="minorEastAsia" w:hAnsiTheme="minorEastAsia" w:cs="Times New Roman" w:hint="default"/>
                <w:color w:val="auto"/>
                <w:kern w:val="2"/>
                <w:szCs w:val="22"/>
              </w:rPr>
            </w:pPr>
            <w:r w:rsidRPr="00B6349E">
              <w:rPr>
                <w:rFonts w:asciiTheme="minorEastAsia" w:eastAsiaTheme="minorEastAsia" w:hAnsiTheme="minorEastAsia" w:cs="Times New Roman"/>
                <w:color w:val="auto"/>
                <w:kern w:val="2"/>
                <w:szCs w:val="22"/>
              </w:rPr>
              <w:t xml:space="preserve">ア　</w:t>
            </w:r>
            <w:r w:rsidR="0097560E">
              <w:rPr>
                <w:rFonts w:asciiTheme="minorEastAsia" w:eastAsiaTheme="minorEastAsia" w:hAnsiTheme="minorEastAsia" w:cs="Times New Roman"/>
                <w:color w:val="FF0000"/>
                <w:kern w:val="2"/>
                <w:szCs w:val="22"/>
                <w:u w:val="single"/>
              </w:rPr>
              <w:t>令和元</w:t>
            </w:r>
            <w:r w:rsidR="0097560E" w:rsidRPr="0097560E">
              <w:rPr>
                <w:rFonts w:asciiTheme="minorEastAsia" w:eastAsiaTheme="minorEastAsia" w:hAnsiTheme="minorEastAsia" w:cs="Times New Roman"/>
                <w:color w:val="auto"/>
                <w:kern w:val="2"/>
                <w:szCs w:val="22"/>
              </w:rPr>
              <w:t>事業年度以降に計画を策定する場合</w:t>
            </w:r>
            <w:r w:rsidRPr="00B6349E">
              <w:rPr>
                <w:rFonts w:asciiTheme="minorEastAsia" w:eastAsiaTheme="minorEastAsia" w:hAnsiTheme="minorEastAsia" w:cs="Times New Roman"/>
                <w:color w:val="auto"/>
                <w:kern w:val="2"/>
                <w:szCs w:val="22"/>
              </w:rPr>
              <w:t>：策定事業年度の翌々事業年度までに10a当たり燃油使用量を15％以上削減することにより、燃油価格の変動が経営に及ぼす影響を緩和すること。</w:t>
            </w:r>
          </w:p>
          <w:p w14:paraId="577308E0" w14:textId="543D4F3B" w:rsidR="00B6349E" w:rsidRPr="00B6349E" w:rsidRDefault="00B6349E" w:rsidP="00B6349E">
            <w:pPr>
              <w:ind w:leftChars="206" w:left="854" w:hangingChars="150" w:hanging="360"/>
              <w:jc w:val="left"/>
              <w:textAlignment w:val="auto"/>
              <w:rPr>
                <w:rFonts w:ascii="ＭＳ ゴシック" w:eastAsia="ＭＳ ゴシック" w:hAnsi="Century" w:cs="Times New Roman" w:hint="default"/>
                <w:color w:val="auto"/>
                <w:kern w:val="2"/>
                <w:szCs w:val="22"/>
              </w:rPr>
            </w:pPr>
            <w:r w:rsidRPr="00B6349E">
              <w:rPr>
                <w:rFonts w:asciiTheme="minorEastAsia" w:eastAsiaTheme="minorEastAsia" w:hAnsiTheme="minorEastAsia" w:cs="Times New Roman"/>
                <w:color w:val="auto"/>
                <w:kern w:val="2"/>
                <w:szCs w:val="22"/>
              </w:rPr>
              <w:t xml:space="preserve">イ　</w:t>
            </w:r>
            <w:r w:rsidR="0097560E" w:rsidRPr="0097560E">
              <w:rPr>
                <w:rFonts w:asciiTheme="minorEastAsia" w:eastAsiaTheme="minorEastAsia" w:hAnsiTheme="minorEastAsia" w:cs="Times New Roman"/>
                <w:color w:val="auto"/>
                <w:kern w:val="2"/>
                <w:szCs w:val="22"/>
              </w:rPr>
              <w:t>平成</w:t>
            </w:r>
            <w:r w:rsidR="0097560E">
              <w:rPr>
                <w:rFonts w:asciiTheme="minorEastAsia" w:eastAsiaTheme="minorEastAsia" w:hAnsiTheme="minorEastAsia" w:cs="Times New Roman"/>
                <w:color w:val="FF0000"/>
                <w:kern w:val="2"/>
                <w:szCs w:val="22"/>
                <w:u w:val="single"/>
              </w:rPr>
              <w:t>30</w:t>
            </w:r>
            <w:r w:rsidR="0097560E" w:rsidRPr="0097560E">
              <w:rPr>
                <w:rFonts w:asciiTheme="minorEastAsia" w:eastAsiaTheme="minorEastAsia" w:hAnsiTheme="minorEastAsia" w:cs="Times New Roman"/>
                <w:color w:val="auto"/>
                <w:kern w:val="2"/>
                <w:szCs w:val="22"/>
              </w:rPr>
              <w:t>事業年度までに計画を策定し</w:t>
            </w:r>
            <w:r w:rsidR="0097560E" w:rsidRPr="00B6349E">
              <w:rPr>
                <w:rFonts w:asciiTheme="minorEastAsia" w:eastAsiaTheme="minorEastAsia" w:hAnsiTheme="minorEastAsia" w:cs="Times New Roman"/>
                <w:color w:val="auto"/>
                <w:kern w:val="2"/>
                <w:szCs w:val="22"/>
              </w:rPr>
              <w:t>、</w:t>
            </w:r>
            <w:r w:rsidRPr="00B6349E">
              <w:rPr>
                <w:rFonts w:asciiTheme="minorEastAsia" w:eastAsiaTheme="minorEastAsia" w:hAnsiTheme="minorEastAsia" w:cs="Times New Roman"/>
                <w:color w:val="auto"/>
                <w:kern w:val="2"/>
                <w:szCs w:val="22"/>
              </w:rPr>
              <w:t>継続して取り</w:t>
            </w:r>
            <w:r w:rsidRPr="00B6349E">
              <w:rPr>
                <w:rFonts w:asciiTheme="minorEastAsia" w:eastAsiaTheme="minorEastAsia" w:hAnsiTheme="minorEastAsia" w:cs="Times New Roman"/>
                <w:color w:val="auto"/>
                <w:kern w:val="2"/>
                <w:szCs w:val="22"/>
              </w:rPr>
              <w:lastRenderedPageBreak/>
              <w:t>組んでいる場合：策定事業年度の翌々事業年度までに、(ア）から(ウ)までのいずれか一つに取り組むことにより、燃油価格の変動が経営に及ぼす影響を緩和すること。</w:t>
            </w:r>
          </w:p>
          <w:p w14:paraId="1D9831B1" w14:textId="77777777" w:rsidR="00B6349E" w:rsidRDefault="00B6349E" w:rsidP="00B6349E">
            <w:pPr>
              <w:ind w:left="283" w:hangingChars="118" w:hanging="283"/>
              <w:jc w:val="left"/>
              <w:rPr>
                <w:rFonts w:hint="default"/>
              </w:rPr>
            </w:pPr>
          </w:p>
          <w:p w14:paraId="72887A9E" w14:textId="4CBC3D39" w:rsidR="00B6349E" w:rsidRDefault="00B6349E" w:rsidP="00B6349E">
            <w:pPr>
              <w:ind w:left="283" w:hangingChars="118" w:hanging="283"/>
              <w:jc w:val="left"/>
              <w:rPr>
                <w:rFonts w:hint="default"/>
              </w:rPr>
            </w:pPr>
            <w:r w:rsidRPr="00DB03EF">
              <w:t>第</w:t>
            </w:r>
            <w:r>
              <w:t>６</w:t>
            </w:r>
            <w:r w:rsidRPr="00DB03EF">
              <w:t>条</w:t>
            </w:r>
            <w:r>
              <w:t>～第７条　（略）</w:t>
            </w:r>
            <w:r w:rsidRPr="00DB03EF">
              <w:t xml:space="preserve">　</w:t>
            </w:r>
          </w:p>
          <w:p w14:paraId="6091EF10" w14:textId="77777777" w:rsidR="008F1A93" w:rsidRPr="00B6349E" w:rsidRDefault="008F1A93" w:rsidP="008F1A93">
            <w:pPr>
              <w:ind w:left="283" w:hangingChars="118" w:hanging="283"/>
              <w:jc w:val="left"/>
              <w:rPr>
                <w:rFonts w:hint="default"/>
              </w:rPr>
            </w:pPr>
          </w:p>
          <w:p w14:paraId="670E767F" w14:textId="77777777" w:rsidR="0087225F" w:rsidRPr="0087225F" w:rsidRDefault="0087225F" w:rsidP="0087225F">
            <w:pPr>
              <w:jc w:val="left"/>
              <w:textAlignment w:val="auto"/>
              <w:rPr>
                <w:rFonts w:cs="Times New Roman" w:hint="default"/>
                <w:color w:val="auto"/>
                <w:kern w:val="2"/>
                <w:szCs w:val="22"/>
              </w:rPr>
            </w:pPr>
            <w:r w:rsidRPr="0087225F">
              <w:rPr>
                <w:rFonts w:cs="Times New Roman"/>
                <w:color w:val="auto"/>
                <w:kern w:val="2"/>
                <w:szCs w:val="22"/>
              </w:rPr>
              <w:t>（実施状況の報告）</w:t>
            </w:r>
          </w:p>
          <w:p w14:paraId="30E4C54D" w14:textId="6B402F8B" w:rsidR="0087225F" w:rsidRPr="0087225F" w:rsidRDefault="0087225F" w:rsidP="0087225F">
            <w:pPr>
              <w:ind w:left="281" w:hangingChars="117" w:hanging="281"/>
              <w:jc w:val="left"/>
              <w:textAlignment w:val="auto"/>
              <w:rPr>
                <w:rFonts w:cs="Times New Roman" w:hint="default"/>
                <w:color w:val="auto"/>
                <w:kern w:val="2"/>
                <w:szCs w:val="22"/>
              </w:rPr>
            </w:pPr>
            <w:r w:rsidRPr="0087225F">
              <w:rPr>
                <w:rFonts w:cs="Times New Roman"/>
                <w:color w:val="auto"/>
                <w:kern w:val="2"/>
                <w:szCs w:val="22"/>
              </w:rPr>
              <w:t xml:space="preserve">第８条　</w:t>
            </w:r>
            <w:r w:rsidR="005F196D" w:rsidRPr="00041FEE">
              <w:t>（略）</w:t>
            </w:r>
          </w:p>
          <w:p w14:paraId="5371D950" w14:textId="386A6EE7" w:rsidR="0087225F" w:rsidRPr="00041FEE" w:rsidRDefault="0087225F" w:rsidP="0087225F">
            <w:pPr>
              <w:ind w:left="425" w:hangingChars="177" w:hanging="425"/>
              <w:jc w:val="left"/>
              <w:rPr>
                <w:rFonts w:cs="Times New Roman" w:hint="default"/>
                <w:color w:val="auto"/>
                <w:kern w:val="2"/>
                <w:szCs w:val="22"/>
              </w:rPr>
            </w:pPr>
            <w:r w:rsidRPr="00041FEE">
              <w:rPr>
                <w:rFonts w:cs="Times New Roman"/>
                <w:color w:val="auto"/>
                <w:kern w:val="2"/>
                <w:szCs w:val="22"/>
              </w:rPr>
              <w:t>２　協議会は、前</w:t>
            </w:r>
            <w:r w:rsidRPr="0071075A">
              <w:rPr>
                <w:rFonts w:cs="Times New Roman"/>
                <w:color w:val="FF0000"/>
                <w:kern w:val="2"/>
                <w:szCs w:val="22"/>
                <w:u w:val="single"/>
              </w:rPr>
              <w:t>項</w:t>
            </w:r>
            <w:r w:rsidRPr="00041FEE">
              <w:rPr>
                <w:rFonts w:cs="Times New Roman"/>
                <w:color w:val="auto"/>
                <w:kern w:val="2"/>
                <w:szCs w:val="22"/>
              </w:rPr>
              <w:t>の報告及び自らの実施状況を取りまとめ、実施要綱第７、実施要領第６及び事業主体要領第１４条により、事業主体に報告するものとする。</w:t>
            </w:r>
          </w:p>
          <w:p w14:paraId="370F4665" w14:textId="77777777" w:rsidR="008F1A93" w:rsidRPr="00041FEE" w:rsidRDefault="008F1A93" w:rsidP="00D349D3">
            <w:pPr>
              <w:ind w:left="425" w:hangingChars="177" w:hanging="425"/>
              <w:jc w:val="left"/>
              <w:rPr>
                <w:rFonts w:hint="default"/>
                <w:color w:val="auto"/>
              </w:rPr>
            </w:pPr>
          </w:p>
          <w:p w14:paraId="600C6B5A" w14:textId="70D439FE" w:rsidR="008F1A93" w:rsidRPr="003760D0" w:rsidRDefault="008F1A93" w:rsidP="008F1A93">
            <w:pPr>
              <w:suppressAutoHyphens/>
              <w:wordWrap w:val="0"/>
              <w:overflowPunct w:val="0"/>
              <w:autoSpaceDE w:val="0"/>
              <w:autoSpaceDN w:val="0"/>
              <w:ind w:left="446" w:hangingChars="177" w:hanging="446"/>
              <w:jc w:val="left"/>
              <w:rPr>
                <w:rFonts w:hAnsi="ＭＳ ゴシック" w:hint="default"/>
                <w:color w:val="auto"/>
                <w:spacing w:val="6"/>
              </w:rPr>
            </w:pPr>
            <w:r>
              <w:rPr>
                <w:rFonts w:hAnsi="ＭＳ ゴシック"/>
                <w:color w:val="auto"/>
                <w:spacing w:val="6"/>
              </w:rPr>
              <w:t>第</w:t>
            </w:r>
            <w:r w:rsidR="001A7ABD">
              <w:rPr>
                <w:rFonts w:hAnsi="ＭＳ ゴシック"/>
                <w:color w:val="auto"/>
                <w:spacing w:val="6"/>
              </w:rPr>
              <w:t>９</w:t>
            </w:r>
            <w:r>
              <w:rPr>
                <w:rFonts w:hAnsi="ＭＳ ゴシック"/>
                <w:color w:val="auto"/>
                <w:spacing w:val="6"/>
              </w:rPr>
              <w:t>条～第</w:t>
            </w:r>
            <w:r w:rsidR="00F81332">
              <w:rPr>
                <w:rFonts w:hAnsi="ＭＳ ゴシック"/>
                <w:color w:val="auto"/>
                <w:spacing w:val="6"/>
              </w:rPr>
              <w:t>１</w:t>
            </w:r>
            <w:r>
              <w:rPr>
                <w:rFonts w:hAnsi="ＭＳ ゴシック"/>
                <w:color w:val="auto"/>
                <w:spacing w:val="6"/>
              </w:rPr>
              <w:t>３条　　　（略）</w:t>
            </w:r>
          </w:p>
          <w:p w14:paraId="577F53A8" w14:textId="77777777" w:rsidR="00D349D3" w:rsidRPr="008F1A93" w:rsidRDefault="00D349D3" w:rsidP="00D349D3">
            <w:pPr>
              <w:jc w:val="left"/>
              <w:rPr>
                <w:rFonts w:hint="default"/>
              </w:rPr>
            </w:pPr>
          </w:p>
          <w:p w14:paraId="4AB92674" w14:textId="77777777" w:rsidR="00F81332" w:rsidRPr="00DB03EF" w:rsidRDefault="00F81332" w:rsidP="00F81332">
            <w:pPr>
              <w:ind w:left="283" w:hangingChars="118" w:hanging="283"/>
              <w:jc w:val="left"/>
              <w:rPr>
                <w:rFonts w:hint="default"/>
              </w:rPr>
            </w:pPr>
            <w:r w:rsidRPr="00DB03EF">
              <w:t>（燃油購入数量等の設定）</w:t>
            </w:r>
          </w:p>
          <w:p w14:paraId="3C05027D" w14:textId="77777777" w:rsidR="00F81332" w:rsidRPr="00A3762F" w:rsidRDefault="00F81332" w:rsidP="00F81332">
            <w:pPr>
              <w:ind w:left="163" w:hangingChars="68" w:hanging="163"/>
              <w:jc w:val="left"/>
              <w:rPr>
                <w:rFonts w:hint="default"/>
                <w:spacing w:val="-1"/>
                <w:szCs w:val="24"/>
                <w:u w:val="single"/>
              </w:rPr>
            </w:pPr>
            <w:r w:rsidRPr="00DB03EF">
              <w:t>第</w:t>
            </w:r>
            <w:r>
              <w:t>１４</w:t>
            </w:r>
            <w:r w:rsidRPr="00DB03EF">
              <w:t>条　セーフティネットへの加入を希望する支援対象者（以下「加入申込者」という）又は前条により積立契約を締結した支援対象者（以下「加入者」という。）は、施設園芸用燃油価格差補填金（燃油価格の急上昇が施設園芸農業者の経営に及ぼす影響を緩和するための補填金をいう。以下「補填金」という。）に係る積立金の積立方式について、その構成員の事業参加者ごとに下表の選択肢からいずれかを選択し、別紙様式第</w:t>
            </w:r>
            <w:r>
              <w:t>７</w:t>
            </w:r>
            <w:r w:rsidRPr="00DB03EF">
              <w:t>号による燃油購入数量等設定申込書（以下「数量等申込書」という。）により、補填金の対象となる燃油購入数量とともに、協議会に申し込むものとする。</w:t>
            </w:r>
          </w:p>
          <w:p w14:paraId="273D40CA" w14:textId="77777777" w:rsidR="00F81332" w:rsidRDefault="00F81332" w:rsidP="00F81332">
            <w:pPr>
              <w:ind w:left="162" w:firstLineChars="100" w:firstLine="240"/>
              <w:jc w:val="left"/>
              <w:rPr>
                <w:rFonts w:hint="default"/>
              </w:rPr>
            </w:pPr>
            <w:r w:rsidRPr="007544EF">
              <w:lastRenderedPageBreak/>
              <w:t>なお、</w:t>
            </w:r>
            <w:r w:rsidRPr="00DB03EF">
              <w:t>第</w:t>
            </w:r>
            <w:r>
              <w:t>１１</w:t>
            </w:r>
            <w:r w:rsidRPr="00DB03EF">
              <w:t>条第２項による積立契約の更新等に伴い当該事業年度の燃油購入数量の追加を行う場合も同様とする。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905"/>
              <w:gridCol w:w="2954"/>
            </w:tblGrid>
            <w:tr w:rsidR="00F81332" w:rsidRPr="00DB03EF" w14:paraId="5D0263BB" w14:textId="77777777" w:rsidTr="00782A07">
              <w:tc>
                <w:tcPr>
                  <w:tcW w:w="2458" w:type="dxa"/>
                  <w:shd w:val="clear" w:color="auto" w:fill="auto"/>
                  <w:vAlign w:val="center"/>
                </w:tcPr>
                <w:p w14:paraId="73EB54E1" w14:textId="77777777" w:rsidR="00F81332" w:rsidRPr="00DB03EF" w:rsidRDefault="00F81332" w:rsidP="009A239A">
                  <w:pPr>
                    <w:jc w:val="center"/>
                    <w:rPr>
                      <w:rFonts w:hint="default"/>
                    </w:rPr>
                  </w:pPr>
                  <w:r w:rsidRPr="00291246">
                    <w:rPr>
                      <w:b/>
                      <w:color w:val="FF0000"/>
                      <w:spacing w:val="-1"/>
                      <w:szCs w:val="24"/>
                    </w:rPr>
                    <w:t xml:space="preserve">　</w:t>
                  </w:r>
                  <w:r w:rsidRPr="00DB03EF">
                    <w:t>選択肢（積立方式）</w:t>
                  </w:r>
                </w:p>
              </w:tc>
              <w:tc>
                <w:tcPr>
                  <w:tcW w:w="912" w:type="dxa"/>
                  <w:shd w:val="clear" w:color="auto" w:fill="auto"/>
                  <w:vAlign w:val="center"/>
                </w:tcPr>
                <w:p w14:paraId="2624313A" w14:textId="77777777" w:rsidR="00F81332" w:rsidRPr="00DB03EF" w:rsidRDefault="00F81332" w:rsidP="009A239A">
                  <w:pPr>
                    <w:jc w:val="center"/>
                    <w:rPr>
                      <w:rFonts w:hint="default"/>
                    </w:rPr>
                  </w:pPr>
                  <w:r w:rsidRPr="00DB03EF">
                    <w:t>油種</w:t>
                  </w:r>
                </w:p>
              </w:tc>
              <w:tc>
                <w:tcPr>
                  <w:tcW w:w="2991" w:type="dxa"/>
                  <w:shd w:val="clear" w:color="auto" w:fill="auto"/>
                  <w:vAlign w:val="center"/>
                </w:tcPr>
                <w:p w14:paraId="558150B7" w14:textId="77777777" w:rsidR="00F81332" w:rsidRPr="00DB03EF" w:rsidRDefault="00F81332" w:rsidP="009A239A">
                  <w:pPr>
                    <w:jc w:val="center"/>
                    <w:rPr>
                      <w:rFonts w:hint="default"/>
                    </w:rPr>
                  </w:pPr>
                  <w:r w:rsidRPr="00DB03EF">
                    <w:t>積立額の算出式</w:t>
                  </w:r>
                </w:p>
              </w:tc>
            </w:tr>
            <w:tr w:rsidR="00F81332" w:rsidRPr="00DB03EF" w14:paraId="45AE5CB1" w14:textId="77777777" w:rsidTr="00782A07">
              <w:tc>
                <w:tcPr>
                  <w:tcW w:w="2458" w:type="dxa"/>
                  <w:vMerge w:val="restart"/>
                  <w:shd w:val="clear" w:color="auto" w:fill="auto"/>
                  <w:vAlign w:val="center"/>
                </w:tcPr>
                <w:p w14:paraId="3FB8E250" w14:textId="77777777" w:rsidR="00F81332" w:rsidRPr="005F196D" w:rsidRDefault="00F81332" w:rsidP="009A239A">
                  <w:pPr>
                    <w:rPr>
                      <w:rFonts w:hint="default"/>
                      <w:color w:val="auto"/>
                    </w:rPr>
                  </w:pPr>
                  <w:r w:rsidRPr="005F196D">
                    <w:rPr>
                      <w:color w:val="auto"/>
                    </w:rPr>
                    <w:t>燃油価格の115％相当までの高騰に備え積み立てる場合</w:t>
                  </w:r>
                </w:p>
              </w:tc>
              <w:tc>
                <w:tcPr>
                  <w:tcW w:w="912" w:type="dxa"/>
                  <w:shd w:val="clear" w:color="auto" w:fill="auto"/>
                  <w:vAlign w:val="center"/>
                </w:tcPr>
                <w:p w14:paraId="32CEE7B0" w14:textId="77777777" w:rsidR="00F81332" w:rsidRPr="005F196D" w:rsidRDefault="00F81332" w:rsidP="009A239A">
                  <w:pPr>
                    <w:jc w:val="center"/>
                    <w:rPr>
                      <w:rFonts w:hint="default"/>
                      <w:color w:val="auto"/>
                    </w:rPr>
                  </w:pPr>
                  <w:r w:rsidRPr="005F196D">
                    <w:rPr>
                      <w:color w:val="auto"/>
                    </w:rPr>
                    <w:t>Ａ重油</w:t>
                  </w:r>
                </w:p>
              </w:tc>
              <w:tc>
                <w:tcPr>
                  <w:tcW w:w="2991" w:type="dxa"/>
                  <w:shd w:val="clear" w:color="auto" w:fill="auto"/>
                  <w:vAlign w:val="center"/>
                </w:tcPr>
                <w:p w14:paraId="469B0F7F" w14:textId="3D2A67AB" w:rsidR="00F81332" w:rsidRPr="005F196D" w:rsidRDefault="00F81332" w:rsidP="009A239A">
                  <w:pPr>
                    <w:rPr>
                      <w:rFonts w:hint="default"/>
                      <w:color w:val="auto"/>
                      <w:u w:val="single"/>
                    </w:rPr>
                  </w:pPr>
                  <w:r w:rsidRPr="0071075A">
                    <w:rPr>
                      <w:color w:val="FF0000"/>
                      <w:u w:val="single"/>
                    </w:rPr>
                    <w:t>12.</w:t>
                  </w:r>
                  <w:r w:rsidR="005F196D" w:rsidRPr="0071075A">
                    <w:rPr>
                      <w:color w:val="FF0000"/>
                      <w:u w:val="single"/>
                    </w:rPr>
                    <w:t>5</w:t>
                  </w:r>
                  <w:r w:rsidRPr="005F196D">
                    <w:rPr>
                      <w:color w:val="auto"/>
                    </w:rPr>
                    <w:t>円/ﾘｯﾄﾙ×燃油購入数量×1/2</w:t>
                  </w:r>
                </w:p>
              </w:tc>
            </w:tr>
            <w:tr w:rsidR="00F81332" w:rsidRPr="00DB03EF" w14:paraId="5ECEEBCE" w14:textId="77777777" w:rsidTr="00782A07">
              <w:tc>
                <w:tcPr>
                  <w:tcW w:w="2458" w:type="dxa"/>
                  <w:vMerge/>
                  <w:shd w:val="clear" w:color="auto" w:fill="auto"/>
                  <w:vAlign w:val="center"/>
                </w:tcPr>
                <w:p w14:paraId="4D26DF2C" w14:textId="77777777" w:rsidR="00F81332" w:rsidRPr="005F196D" w:rsidRDefault="00F81332" w:rsidP="009A239A">
                  <w:pPr>
                    <w:jc w:val="center"/>
                    <w:rPr>
                      <w:rFonts w:hint="default"/>
                      <w:color w:val="auto"/>
                    </w:rPr>
                  </w:pPr>
                </w:p>
              </w:tc>
              <w:tc>
                <w:tcPr>
                  <w:tcW w:w="912" w:type="dxa"/>
                  <w:shd w:val="clear" w:color="auto" w:fill="auto"/>
                  <w:vAlign w:val="center"/>
                </w:tcPr>
                <w:p w14:paraId="674C71E6" w14:textId="77777777" w:rsidR="00F81332" w:rsidRPr="005F196D" w:rsidRDefault="00F81332" w:rsidP="009A239A">
                  <w:pPr>
                    <w:jc w:val="center"/>
                    <w:rPr>
                      <w:rFonts w:hint="default"/>
                      <w:color w:val="auto"/>
                    </w:rPr>
                  </w:pPr>
                  <w:r w:rsidRPr="005F196D">
                    <w:rPr>
                      <w:color w:val="auto"/>
                    </w:rPr>
                    <w:t>灯油</w:t>
                  </w:r>
                </w:p>
              </w:tc>
              <w:tc>
                <w:tcPr>
                  <w:tcW w:w="2991" w:type="dxa"/>
                  <w:shd w:val="clear" w:color="auto" w:fill="auto"/>
                  <w:vAlign w:val="center"/>
                </w:tcPr>
                <w:p w14:paraId="7ABA795D" w14:textId="6FDCA601" w:rsidR="00F81332" w:rsidRPr="005F196D" w:rsidRDefault="00F81332" w:rsidP="009A239A">
                  <w:pPr>
                    <w:rPr>
                      <w:rFonts w:hint="default"/>
                      <w:color w:val="auto"/>
                      <w:u w:val="single"/>
                    </w:rPr>
                  </w:pPr>
                  <w:r w:rsidRPr="0071075A">
                    <w:rPr>
                      <w:color w:val="FF0000"/>
                      <w:u w:val="single"/>
                    </w:rPr>
                    <w:t>13.</w:t>
                  </w:r>
                  <w:r w:rsidR="005F196D" w:rsidRPr="0071075A">
                    <w:rPr>
                      <w:color w:val="FF0000"/>
                      <w:u w:val="single"/>
                    </w:rPr>
                    <w:t>2</w:t>
                  </w:r>
                  <w:r w:rsidRPr="005F196D">
                    <w:rPr>
                      <w:color w:val="auto"/>
                    </w:rPr>
                    <w:t>円/ﾘｯﾄﾙ×燃油購入数量×1/2</w:t>
                  </w:r>
                </w:p>
              </w:tc>
            </w:tr>
            <w:tr w:rsidR="00F81332" w:rsidRPr="00DB03EF" w14:paraId="7D443B3B" w14:textId="77777777" w:rsidTr="00782A07">
              <w:trPr>
                <w:trHeight w:val="397"/>
              </w:trPr>
              <w:tc>
                <w:tcPr>
                  <w:tcW w:w="2458" w:type="dxa"/>
                  <w:vMerge w:val="restart"/>
                  <w:shd w:val="clear" w:color="auto" w:fill="auto"/>
                  <w:vAlign w:val="center"/>
                </w:tcPr>
                <w:p w14:paraId="433923F7" w14:textId="77777777" w:rsidR="00F81332" w:rsidRPr="00DB03EF" w:rsidRDefault="00F81332" w:rsidP="009A239A">
                  <w:pPr>
                    <w:rPr>
                      <w:rFonts w:hint="default"/>
                    </w:rPr>
                  </w:pPr>
                  <w:r w:rsidRPr="00DB03EF">
                    <w:t>燃油価格の130％相当までの高騰に備え積み立てる場合</w:t>
                  </w:r>
                </w:p>
              </w:tc>
              <w:tc>
                <w:tcPr>
                  <w:tcW w:w="912" w:type="dxa"/>
                  <w:shd w:val="clear" w:color="auto" w:fill="auto"/>
                  <w:vAlign w:val="center"/>
                </w:tcPr>
                <w:p w14:paraId="02258450" w14:textId="77777777" w:rsidR="00F81332" w:rsidRPr="00DB03EF" w:rsidRDefault="00F81332" w:rsidP="009A239A">
                  <w:pPr>
                    <w:jc w:val="center"/>
                    <w:rPr>
                      <w:rFonts w:hint="default"/>
                    </w:rPr>
                  </w:pPr>
                  <w:r w:rsidRPr="00DB03EF">
                    <w:t>Ａ重油</w:t>
                  </w:r>
                </w:p>
              </w:tc>
              <w:tc>
                <w:tcPr>
                  <w:tcW w:w="2991" w:type="dxa"/>
                  <w:shd w:val="clear" w:color="auto" w:fill="auto"/>
                  <w:vAlign w:val="center"/>
                </w:tcPr>
                <w:p w14:paraId="7451B2C6" w14:textId="0A947F08" w:rsidR="00F81332" w:rsidRPr="005F196D" w:rsidRDefault="00F81332" w:rsidP="009A239A">
                  <w:pPr>
                    <w:rPr>
                      <w:rFonts w:hint="default"/>
                      <w:color w:val="auto"/>
                    </w:rPr>
                  </w:pPr>
                  <w:r w:rsidRPr="0071075A">
                    <w:rPr>
                      <w:color w:val="FF0000"/>
                      <w:u w:val="single"/>
                    </w:rPr>
                    <w:t>2</w:t>
                  </w:r>
                  <w:r w:rsidR="005F196D" w:rsidRPr="0071075A">
                    <w:rPr>
                      <w:color w:val="FF0000"/>
                      <w:u w:val="single"/>
                    </w:rPr>
                    <w:t>4.9</w:t>
                  </w:r>
                  <w:r w:rsidRPr="005F196D">
                    <w:rPr>
                      <w:color w:val="auto"/>
                    </w:rPr>
                    <w:t>円/ﾘｯﾄﾙ×燃油購入数量×1/2</w:t>
                  </w:r>
                </w:p>
              </w:tc>
            </w:tr>
            <w:tr w:rsidR="00F81332" w:rsidRPr="00DB03EF" w14:paraId="038F317C" w14:textId="77777777" w:rsidTr="00782A07">
              <w:trPr>
                <w:trHeight w:val="397"/>
              </w:trPr>
              <w:tc>
                <w:tcPr>
                  <w:tcW w:w="2458" w:type="dxa"/>
                  <w:vMerge/>
                  <w:shd w:val="clear" w:color="auto" w:fill="auto"/>
                  <w:vAlign w:val="center"/>
                </w:tcPr>
                <w:p w14:paraId="3DA14D88" w14:textId="77777777" w:rsidR="00F81332" w:rsidRPr="00DB03EF" w:rsidRDefault="00F81332" w:rsidP="009A239A">
                  <w:pPr>
                    <w:rPr>
                      <w:rFonts w:hint="default"/>
                    </w:rPr>
                  </w:pPr>
                </w:p>
              </w:tc>
              <w:tc>
                <w:tcPr>
                  <w:tcW w:w="912" w:type="dxa"/>
                  <w:shd w:val="clear" w:color="auto" w:fill="auto"/>
                  <w:vAlign w:val="center"/>
                </w:tcPr>
                <w:p w14:paraId="70282110" w14:textId="77777777" w:rsidR="00F81332" w:rsidRPr="00DB03EF" w:rsidRDefault="00F81332" w:rsidP="009A239A">
                  <w:pPr>
                    <w:jc w:val="center"/>
                    <w:rPr>
                      <w:rFonts w:hint="default"/>
                    </w:rPr>
                  </w:pPr>
                  <w:r w:rsidRPr="00DB03EF">
                    <w:t>灯油</w:t>
                  </w:r>
                </w:p>
              </w:tc>
              <w:tc>
                <w:tcPr>
                  <w:tcW w:w="2991" w:type="dxa"/>
                  <w:shd w:val="clear" w:color="auto" w:fill="auto"/>
                  <w:vAlign w:val="center"/>
                </w:tcPr>
                <w:p w14:paraId="4E8947AA" w14:textId="35AEAD5B" w:rsidR="00F81332" w:rsidRPr="005F196D" w:rsidRDefault="00F81332" w:rsidP="009A239A">
                  <w:pPr>
                    <w:rPr>
                      <w:rFonts w:hint="default"/>
                      <w:color w:val="auto"/>
                    </w:rPr>
                  </w:pPr>
                  <w:r w:rsidRPr="0071075A">
                    <w:rPr>
                      <w:color w:val="FF0000"/>
                      <w:u w:val="single"/>
                    </w:rPr>
                    <w:t>26.</w:t>
                  </w:r>
                  <w:r w:rsidR="005F196D" w:rsidRPr="0071075A">
                    <w:rPr>
                      <w:color w:val="FF0000"/>
                      <w:u w:val="single"/>
                    </w:rPr>
                    <w:t>4</w:t>
                  </w:r>
                  <w:r w:rsidRPr="005F196D">
                    <w:rPr>
                      <w:color w:val="auto"/>
                    </w:rPr>
                    <w:t>円/ﾘｯﾄﾙ×燃油購入数量×1/2</w:t>
                  </w:r>
                </w:p>
              </w:tc>
            </w:tr>
            <w:tr w:rsidR="00F81332" w:rsidRPr="00DB03EF" w14:paraId="1B6FD999" w14:textId="77777777" w:rsidTr="00782A07">
              <w:trPr>
                <w:trHeight w:val="397"/>
              </w:trPr>
              <w:tc>
                <w:tcPr>
                  <w:tcW w:w="2458" w:type="dxa"/>
                  <w:vMerge w:val="restart"/>
                  <w:shd w:val="clear" w:color="auto" w:fill="auto"/>
                  <w:vAlign w:val="center"/>
                </w:tcPr>
                <w:p w14:paraId="276A04AA" w14:textId="77777777" w:rsidR="00F81332" w:rsidRPr="00DB03EF" w:rsidRDefault="00F81332" w:rsidP="009A239A">
                  <w:pPr>
                    <w:rPr>
                      <w:rFonts w:hint="default"/>
                    </w:rPr>
                  </w:pPr>
                  <w:r w:rsidRPr="00DB03EF">
                    <w:t>燃油価格の150％相当までの高騰に備え積み立てる場合</w:t>
                  </w:r>
                </w:p>
              </w:tc>
              <w:tc>
                <w:tcPr>
                  <w:tcW w:w="912" w:type="dxa"/>
                  <w:shd w:val="clear" w:color="auto" w:fill="auto"/>
                  <w:vAlign w:val="center"/>
                </w:tcPr>
                <w:p w14:paraId="2941C474" w14:textId="77777777" w:rsidR="00F81332" w:rsidRPr="00DB03EF" w:rsidRDefault="00F81332" w:rsidP="009A239A">
                  <w:pPr>
                    <w:jc w:val="center"/>
                    <w:rPr>
                      <w:rFonts w:hint="default"/>
                    </w:rPr>
                  </w:pPr>
                  <w:r w:rsidRPr="00DB03EF">
                    <w:t>Ａ重油</w:t>
                  </w:r>
                </w:p>
              </w:tc>
              <w:tc>
                <w:tcPr>
                  <w:tcW w:w="2991" w:type="dxa"/>
                  <w:shd w:val="clear" w:color="auto" w:fill="auto"/>
                  <w:vAlign w:val="center"/>
                </w:tcPr>
                <w:p w14:paraId="5B1A4FAF" w14:textId="0210F96C" w:rsidR="00F81332" w:rsidRPr="005F196D" w:rsidRDefault="00F81332" w:rsidP="009A239A">
                  <w:pPr>
                    <w:rPr>
                      <w:rFonts w:hint="default"/>
                      <w:color w:val="auto"/>
                    </w:rPr>
                  </w:pPr>
                  <w:r w:rsidRPr="0071075A">
                    <w:rPr>
                      <w:color w:val="FF0000"/>
                      <w:u w:val="single"/>
                    </w:rPr>
                    <w:t>4</w:t>
                  </w:r>
                  <w:r w:rsidR="005F196D" w:rsidRPr="0071075A">
                    <w:rPr>
                      <w:color w:val="FF0000"/>
                      <w:u w:val="single"/>
                    </w:rPr>
                    <w:t>1.6</w:t>
                  </w:r>
                  <w:r w:rsidRPr="005F196D">
                    <w:rPr>
                      <w:color w:val="auto"/>
                    </w:rPr>
                    <w:t>円/ﾘｯﾄﾙ×燃油購入数量×1/2</w:t>
                  </w:r>
                </w:p>
              </w:tc>
            </w:tr>
            <w:tr w:rsidR="00F81332" w:rsidRPr="00DB03EF" w14:paraId="12814FB4" w14:textId="77777777" w:rsidTr="00782A07">
              <w:trPr>
                <w:trHeight w:val="397"/>
              </w:trPr>
              <w:tc>
                <w:tcPr>
                  <w:tcW w:w="2458" w:type="dxa"/>
                  <w:vMerge/>
                  <w:shd w:val="clear" w:color="auto" w:fill="auto"/>
                </w:tcPr>
                <w:p w14:paraId="2CFB8113" w14:textId="77777777" w:rsidR="00F81332" w:rsidRPr="00DB03EF" w:rsidRDefault="00F81332" w:rsidP="009A239A">
                  <w:pPr>
                    <w:jc w:val="left"/>
                    <w:rPr>
                      <w:rFonts w:hint="default"/>
                    </w:rPr>
                  </w:pPr>
                </w:p>
              </w:tc>
              <w:tc>
                <w:tcPr>
                  <w:tcW w:w="912" w:type="dxa"/>
                  <w:shd w:val="clear" w:color="auto" w:fill="auto"/>
                  <w:vAlign w:val="center"/>
                </w:tcPr>
                <w:p w14:paraId="47937C1C" w14:textId="77777777" w:rsidR="00F81332" w:rsidRPr="00DB03EF" w:rsidRDefault="00F81332" w:rsidP="009A239A">
                  <w:pPr>
                    <w:jc w:val="center"/>
                    <w:rPr>
                      <w:rFonts w:hint="default"/>
                    </w:rPr>
                  </w:pPr>
                  <w:r w:rsidRPr="00DB03EF">
                    <w:t>灯油</w:t>
                  </w:r>
                </w:p>
              </w:tc>
              <w:tc>
                <w:tcPr>
                  <w:tcW w:w="2991" w:type="dxa"/>
                  <w:shd w:val="clear" w:color="auto" w:fill="auto"/>
                  <w:vAlign w:val="center"/>
                </w:tcPr>
                <w:p w14:paraId="000D1F95" w14:textId="29F2A5C5" w:rsidR="00F81332" w:rsidRPr="005F196D" w:rsidRDefault="00F81332" w:rsidP="009A239A">
                  <w:pPr>
                    <w:rPr>
                      <w:rFonts w:hint="default"/>
                      <w:color w:val="auto"/>
                    </w:rPr>
                  </w:pPr>
                  <w:r w:rsidRPr="0071075A">
                    <w:rPr>
                      <w:color w:val="FF0000"/>
                      <w:u w:val="single"/>
                    </w:rPr>
                    <w:t>44.</w:t>
                  </w:r>
                  <w:r w:rsidR="005F196D" w:rsidRPr="0071075A">
                    <w:rPr>
                      <w:color w:val="FF0000"/>
                      <w:u w:val="single"/>
                    </w:rPr>
                    <w:t>0</w:t>
                  </w:r>
                  <w:r w:rsidRPr="005F196D">
                    <w:rPr>
                      <w:color w:val="auto"/>
                    </w:rPr>
                    <w:t>円/ﾘｯﾄﾙ×燃油購入数量×1/2</w:t>
                  </w:r>
                </w:p>
              </w:tc>
            </w:tr>
          </w:tbl>
          <w:p w14:paraId="05DB6531" w14:textId="77777777" w:rsidR="00852309" w:rsidRDefault="00852309" w:rsidP="00852309">
            <w:pPr>
              <w:ind w:left="283" w:hangingChars="118" w:hanging="283"/>
              <w:jc w:val="left"/>
              <w:rPr>
                <w:rFonts w:hint="default"/>
                <w:color w:val="auto"/>
              </w:rPr>
            </w:pPr>
          </w:p>
          <w:p w14:paraId="4CC5BDCB" w14:textId="77777777" w:rsidR="00782A07" w:rsidRDefault="00782A07" w:rsidP="00852309">
            <w:pPr>
              <w:ind w:left="283" w:hangingChars="118" w:hanging="283"/>
              <w:jc w:val="left"/>
              <w:rPr>
                <w:rFonts w:hint="default"/>
                <w:color w:val="auto"/>
              </w:rPr>
            </w:pPr>
            <w:r>
              <w:rPr>
                <w:color w:val="auto"/>
              </w:rPr>
              <w:t>第１４条第２項～第１７条　　　（略）</w:t>
            </w:r>
          </w:p>
          <w:p w14:paraId="590EF6D8" w14:textId="77777777" w:rsidR="00782A07" w:rsidRDefault="00782A07" w:rsidP="00852309">
            <w:pPr>
              <w:ind w:left="283" w:hangingChars="118" w:hanging="283"/>
              <w:jc w:val="left"/>
              <w:rPr>
                <w:rFonts w:hint="default"/>
                <w:color w:val="auto"/>
              </w:rPr>
            </w:pPr>
          </w:p>
          <w:p w14:paraId="2E20ABE3" w14:textId="77777777" w:rsidR="00782A07" w:rsidRPr="00DB03EF" w:rsidRDefault="00782A07" w:rsidP="00782A07">
            <w:pPr>
              <w:ind w:left="283" w:hangingChars="118" w:hanging="283"/>
              <w:jc w:val="left"/>
              <w:rPr>
                <w:rFonts w:hint="default"/>
              </w:rPr>
            </w:pPr>
            <w:r w:rsidRPr="00DB03EF">
              <w:t>（補填金の交付）</w:t>
            </w:r>
          </w:p>
          <w:p w14:paraId="366F0120" w14:textId="1120BD6D" w:rsidR="00782A07" w:rsidRPr="005F196D" w:rsidRDefault="00782A07" w:rsidP="00782A07">
            <w:pPr>
              <w:ind w:left="283" w:hangingChars="118" w:hanging="283"/>
              <w:jc w:val="left"/>
              <w:rPr>
                <w:rFonts w:hint="default"/>
                <w:color w:val="auto"/>
              </w:rPr>
            </w:pPr>
            <w:r w:rsidRPr="00DB03EF">
              <w:t>第</w:t>
            </w:r>
            <w:r>
              <w:t>１８</w:t>
            </w:r>
            <w:r w:rsidRPr="00DB03EF">
              <w:t>条　協議会は、</w:t>
            </w:r>
            <w:bookmarkStart w:id="0" w:name="_Hlk60834627"/>
            <w:r w:rsidRPr="00DB03EF">
              <w:t>事業主体要領第</w:t>
            </w:r>
            <w:r>
              <w:t>１９</w:t>
            </w:r>
            <w:r w:rsidRPr="00DB03EF">
              <w:t>条</w:t>
            </w:r>
            <w:bookmarkEnd w:id="0"/>
            <w:r w:rsidRPr="00DB03EF">
              <w:t>による事業主体からの通知を受けて、加入者に対する補填金の交付を行うものとする。この場合、事業主体が生産局長の承認を得て定める</w:t>
            </w:r>
            <w:r w:rsidR="005F196D" w:rsidRPr="0071075A">
              <w:rPr>
                <w:color w:val="FF0000"/>
                <w:u w:val="single"/>
              </w:rPr>
              <w:t>補填金単価</w:t>
            </w:r>
            <w:r w:rsidRPr="00DB03EF">
              <w:t>に、加入者及びその事業参加者ごとの当該月の</w:t>
            </w:r>
            <w:r w:rsidRPr="005F196D">
              <w:rPr>
                <w:color w:val="auto"/>
              </w:rPr>
              <w:t>補填対象の燃油数量（購入実績数量に</w:t>
            </w:r>
            <w:r w:rsidR="005F196D" w:rsidRPr="0071075A">
              <w:rPr>
                <w:color w:val="FF0000"/>
                <w:u w:val="single"/>
              </w:rPr>
              <w:t>事業主体要領第１９条第３項に定める</w:t>
            </w:r>
            <w:r w:rsidRPr="005F196D">
              <w:rPr>
                <w:color w:val="auto"/>
              </w:rPr>
              <w:t>補填対象の割合を乗じた数量）を</w:t>
            </w:r>
            <w:r w:rsidRPr="005F196D">
              <w:rPr>
                <w:color w:val="auto"/>
              </w:rPr>
              <w:lastRenderedPageBreak/>
              <w:t>乗じて得た額を補填金として加入者に交付するものとする。</w:t>
            </w:r>
          </w:p>
          <w:p w14:paraId="5B8B0469" w14:textId="66BA1166" w:rsidR="00782A07" w:rsidRPr="00DB03EF" w:rsidRDefault="00782A07" w:rsidP="00782A07">
            <w:pPr>
              <w:ind w:left="283" w:hangingChars="118" w:hanging="283"/>
              <w:jc w:val="left"/>
              <w:rPr>
                <w:rFonts w:hint="default"/>
              </w:rPr>
            </w:pPr>
            <w:r w:rsidRPr="005F196D">
              <w:rPr>
                <w:color w:val="auto"/>
              </w:rPr>
              <w:t>２　協議会は、対象期間の当該都道府県下の平均気温等を踏まえ、事業主体要領第１９条</w:t>
            </w:r>
            <w:r w:rsidR="005F196D" w:rsidRPr="0071075A">
              <w:rPr>
                <w:color w:val="FF0000"/>
                <w:u w:val="single"/>
              </w:rPr>
              <w:t>第３項ただし書き</w:t>
            </w:r>
            <w:r w:rsidRPr="005F196D">
              <w:rPr>
                <w:color w:val="auto"/>
              </w:rPr>
              <w:t>に基づき、事業年度当初</w:t>
            </w:r>
            <w:r w:rsidR="005F196D" w:rsidRPr="0071075A">
              <w:rPr>
                <w:color w:val="FF0000"/>
                <w:u w:val="single"/>
              </w:rPr>
              <w:t>の事業実施計画書において低温特例措置の対象とする気温測定地点</w:t>
            </w:r>
            <w:r w:rsidRPr="00DB03EF">
              <w:t>を申し出るものとする。</w:t>
            </w:r>
          </w:p>
          <w:p w14:paraId="7F351D89" w14:textId="77777777" w:rsidR="00782A07" w:rsidRPr="00782A07" w:rsidRDefault="00782A07" w:rsidP="00852309">
            <w:pPr>
              <w:ind w:left="283" w:hangingChars="118" w:hanging="283"/>
              <w:jc w:val="left"/>
              <w:rPr>
                <w:rFonts w:hint="default"/>
                <w:color w:val="auto"/>
              </w:rPr>
            </w:pPr>
          </w:p>
          <w:p w14:paraId="0233D7EC" w14:textId="77777777" w:rsidR="00A06CBE" w:rsidRDefault="00284623" w:rsidP="00284623">
            <w:pPr>
              <w:ind w:left="283" w:hangingChars="118" w:hanging="283"/>
              <w:jc w:val="left"/>
              <w:rPr>
                <w:rFonts w:hint="default"/>
                <w:color w:val="auto"/>
              </w:rPr>
            </w:pPr>
            <w:r>
              <w:rPr>
                <w:color w:val="auto"/>
              </w:rPr>
              <w:t>第１９条～</w:t>
            </w:r>
            <w:r w:rsidR="00E34BD6" w:rsidRPr="007179BF">
              <w:rPr>
                <w:color w:val="auto"/>
              </w:rPr>
              <w:t>第２</w:t>
            </w:r>
            <w:r w:rsidR="00041FEE">
              <w:rPr>
                <w:color w:val="auto"/>
              </w:rPr>
              <w:t>３</w:t>
            </w:r>
            <w:r w:rsidR="00E34BD6" w:rsidRPr="007179BF">
              <w:rPr>
                <w:color w:val="auto"/>
              </w:rPr>
              <w:t xml:space="preserve">条　</w:t>
            </w:r>
            <w:r w:rsidR="00E34BD6">
              <w:rPr>
                <w:color w:val="auto"/>
              </w:rPr>
              <w:t xml:space="preserve">　（略）</w:t>
            </w:r>
          </w:p>
          <w:p w14:paraId="049766CA" w14:textId="77777777" w:rsidR="00041FEE" w:rsidRDefault="00041FEE" w:rsidP="00284623">
            <w:pPr>
              <w:ind w:left="283" w:hangingChars="118" w:hanging="283"/>
              <w:jc w:val="left"/>
              <w:rPr>
                <w:rFonts w:hint="default"/>
                <w:color w:val="auto"/>
              </w:rPr>
            </w:pPr>
          </w:p>
          <w:p w14:paraId="3F4F1698" w14:textId="77777777" w:rsidR="00041FEE" w:rsidRPr="00041FEE" w:rsidRDefault="00041FEE" w:rsidP="00041FEE">
            <w:pPr>
              <w:ind w:left="283" w:hangingChars="118" w:hanging="283"/>
              <w:jc w:val="left"/>
              <w:textAlignment w:val="auto"/>
              <w:rPr>
                <w:rFonts w:cs="Times New Roman" w:hint="default"/>
                <w:color w:val="auto"/>
                <w:kern w:val="2"/>
                <w:szCs w:val="22"/>
              </w:rPr>
            </w:pPr>
            <w:r w:rsidRPr="00041FEE">
              <w:rPr>
                <w:rFonts w:asciiTheme="minorEastAsia" w:eastAsiaTheme="minorEastAsia" w:hAnsiTheme="minorEastAsia" w:cs="Times New Roman"/>
                <w:color w:val="auto"/>
                <w:kern w:val="2"/>
                <w:szCs w:val="22"/>
              </w:rPr>
              <w:t>（</w:t>
            </w:r>
            <w:r w:rsidRPr="00041FEE">
              <w:rPr>
                <w:rFonts w:cs="Times New Roman"/>
                <w:color w:val="auto"/>
                <w:kern w:val="2"/>
                <w:szCs w:val="22"/>
              </w:rPr>
              <w:t>留意事項）</w:t>
            </w:r>
          </w:p>
          <w:p w14:paraId="58229C6F" w14:textId="77777777" w:rsidR="00041FEE" w:rsidRPr="00041FEE" w:rsidRDefault="00041FEE" w:rsidP="00041FEE">
            <w:pPr>
              <w:textAlignment w:val="auto"/>
              <w:rPr>
                <w:rFonts w:cs="Times New Roman" w:hint="default"/>
                <w:color w:val="auto"/>
                <w:spacing w:val="6"/>
                <w:szCs w:val="24"/>
              </w:rPr>
            </w:pPr>
            <w:r w:rsidRPr="00041FEE">
              <w:rPr>
                <w:rFonts w:cs="Times New Roman"/>
                <w:color w:val="auto"/>
                <w:kern w:val="2"/>
                <w:szCs w:val="22"/>
              </w:rPr>
              <w:t>第２４条</w:t>
            </w:r>
            <w:r w:rsidRPr="00041FEE">
              <w:rPr>
                <w:rFonts w:cs="Times New Roman"/>
                <w:color w:val="auto"/>
                <w:kern w:val="2"/>
                <w:szCs w:val="24"/>
              </w:rPr>
              <w:t xml:space="preserve">　</w:t>
            </w:r>
            <w:r w:rsidRPr="00041FEE">
              <w:rPr>
                <w:rFonts w:cs="ＭＳ 明朝"/>
                <w:color w:val="auto"/>
                <w:szCs w:val="24"/>
              </w:rPr>
              <w:t>対策の実施に当たっては、以下の事項に留意するものとする。</w:t>
            </w:r>
          </w:p>
          <w:p w14:paraId="42D838A6" w14:textId="77777777" w:rsidR="00041FEE" w:rsidRPr="00041FEE" w:rsidRDefault="00041FEE" w:rsidP="00041FEE">
            <w:pPr>
              <w:jc w:val="left"/>
              <w:rPr>
                <w:rFonts w:hint="default"/>
                <w:color w:val="auto"/>
                <w:szCs w:val="24"/>
              </w:rPr>
            </w:pPr>
            <w:r w:rsidRPr="00041FEE">
              <w:rPr>
                <w:rFonts w:cs="ＭＳ 明朝"/>
                <w:color w:val="auto"/>
                <w:szCs w:val="24"/>
              </w:rPr>
              <w:t>（１）</w:t>
            </w:r>
            <w:r w:rsidRPr="00041FEE">
              <w:rPr>
                <w:color w:val="auto"/>
                <w:spacing w:val="-1"/>
                <w:szCs w:val="24"/>
              </w:rPr>
              <w:t>経営の安定を図るための各種制度の積極的活用</w:t>
            </w:r>
          </w:p>
          <w:p w14:paraId="7C02087A" w14:textId="42587380" w:rsidR="00041FEE" w:rsidRPr="00041FEE" w:rsidRDefault="00041FEE" w:rsidP="00041FEE">
            <w:pPr>
              <w:ind w:leftChars="178" w:left="427" w:firstLineChars="118" w:firstLine="283"/>
              <w:jc w:val="left"/>
              <w:rPr>
                <w:rFonts w:hint="default"/>
                <w:color w:val="auto"/>
                <w:spacing w:val="-1"/>
                <w:szCs w:val="24"/>
              </w:rPr>
            </w:pPr>
            <w:r w:rsidRPr="00041FEE">
              <w:rPr>
                <w:color w:val="auto"/>
                <w:szCs w:val="24"/>
              </w:rPr>
              <w:t>事業の継続的な効果の発現及び経営の安定を図る観点から、</w:t>
            </w:r>
            <w:r w:rsidRPr="00D4242B">
              <w:rPr>
                <w:color w:val="FF0000"/>
                <w:szCs w:val="24"/>
                <w:u w:val="single"/>
              </w:rPr>
              <w:t>協議会</w:t>
            </w:r>
            <w:r w:rsidRPr="00041FEE">
              <w:rPr>
                <w:color w:val="auto"/>
                <w:szCs w:val="24"/>
              </w:rPr>
              <w:t>は、農業共済組合等と連携し、支援対象者又は事業参加者に対し、経営の安定を図るため、農業共済、農業経営収入保険その他の農業関係の保険への積極的な加入を促すものとする</w:t>
            </w:r>
            <w:r w:rsidRPr="00041FEE">
              <w:rPr>
                <w:color w:val="auto"/>
                <w:spacing w:val="-1"/>
                <w:szCs w:val="24"/>
              </w:rPr>
              <w:t>。</w:t>
            </w:r>
          </w:p>
          <w:p w14:paraId="558599AE" w14:textId="77777777" w:rsidR="00041FEE" w:rsidRPr="00041FEE" w:rsidRDefault="00041FEE" w:rsidP="00041FEE">
            <w:pPr>
              <w:ind w:left="283" w:hangingChars="118" w:hanging="283"/>
              <w:jc w:val="left"/>
              <w:rPr>
                <w:rFonts w:hint="default"/>
                <w:color w:val="auto"/>
              </w:rPr>
            </w:pPr>
          </w:p>
          <w:p w14:paraId="023DFADE" w14:textId="1ECDBAD7" w:rsidR="00041FEE" w:rsidRPr="00041FEE" w:rsidRDefault="00041FEE" w:rsidP="00041FEE">
            <w:pPr>
              <w:ind w:left="283" w:hangingChars="118" w:hanging="283"/>
              <w:jc w:val="left"/>
              <w:rPr>
                <w:rFonts w:hint="default"/>
                <w:color w:val="auto"/>
              </w:rPr>
            </w:pPr>
            <w:r w:rsidRPr="00041FEE">
              <w:rPr>
                <w:color w:val="auto"/>
              </w:rPr>
              <w:t>第２４条第２項～第２５条　　　（略）</w:t>
            </w:r>
          </w:p>
          <w:p w14:paraId="33BB1877" w14:textId="19EF18CE" w:rsidR="00041FEE" w:rsidRPr="00041FEE" w:rsidRDefault="00041FEE" w:rsidP="00284623">
            <w:pPr>
              <w:ind w:left="283" w:hangingChars="118" w:hanging="283"/>
              <w:jc w:val="left"/>
              <w:rPr>
                <w:rFonts w:hint="default"/>
              </w:rPr>
            </w:pPr>
          </w:p>
        </w:tc>
        <w:tc>
          <w:tcPr>
            <w:tcW w:w="6961" w:type="dxa"/>
          </w:tcPr>
          <w:p w14:paraId="2BA66546" w14:textId="77777777" w:rsidR="0062353B" w:rsidRPr="00041FEE" w:rsidRDefault="008F1A93" w:rsidP="0062353B">
            <w:pPr>
              <w:jc w:val="center"/>
              <w:rPr>
                <w:rFonts w:asciiTheme="minorEastAsia" w:eastAsiaTheme="minorEastAsia" w:hAnsiTheme="minorEastAsia" w:hint="default"/>
              </w:rPr>
            </w:pPr>
            <w:r w:rsidRPr="00041FEE">
              <w:rPr>
                <w:rFonts w:asciiTheme="minorEastAsia" w:eastAsiaTheme="minorEastAsia" w:hAnsiTheme="minorEastAsia"/>
                <w:color w:val="auto"/>
              </w:rPr>
              <w:lastRenderedPageBreak/>
              <w:t>施設園芸等燃油価格高騰対策業務方法書</w:t>
            </w:r>
            <w:r w:rsidR="0062353B" w:rsidRPr="00041FEE">
              <w:rPr>
                <w:rFonts w:asciiTheme="minorEastAsia" w:eastAsiaTheme="minorEastAsia" w:hAnsiTheme="minorEastAsia"/>
              </w:rPr>
              <w:t>（作成例）</w:t>
            </w:r>
          </w:p>
          <w:p w14:paraId="2987F251" w14:textId="77777777" w:rsidR="0062353B" w:rsidRPr="00041FEE" w:rsidRDefault="0062353B" w:rsidP="0062353B">
            <w:pPr>
              <w:jc w:val="center"/>
              <w:rPr>
                <w:rFonts w:asciiTheme="minorEastAsia" w:eastAsiaTheme="minorEastAsia" w:hAnsiTheme="minorEastAsia" w:hint="default"/>
              </w:rPr>
            </w:pPr>
          </w:p>
          <w:p w14:paraId="5F67D6A1" w14:textId="77777777" w:rsidR="0062353B" w:rsidRPr="00041FEE" w:rsidRDefault="0062353B" w:rsidP="0062353B">
            <w:pPr>
              <w:jc w:val="center"/>
              <w:rPr>
                <w:rFonts w:asciiTheme="minorEastAsia" w:eastAsiaTheme="minorEastAsia" w:hAnsiTheme="minorEastAsia" w:hint="default"/>
              </w:rPr>
            </w:pPr>
            <w:r w:rsidRPr="00041FEE">
              <w:rPr>
                <w:rFonts w:asciiTheme="minorEastAsia" w:eastAsiaTheme="minorEastAsia" w:hAnsiTheme="minorEastAsia"/>
              </w:rPr>
              <w:t>第１章　総則</w:t>
            </w:r>
          </w:p>
          <w:p w14:paraId="2DA1CA16" w14:textId="77777777" w:rsidR="00D349D3" w:rsidRPr="00041FEE" w:rsidRDefault="0062353B" w:rsidP="00D349D3">
            <w:pPr>
              <w:jc w:val="left"/>
              <w:rPr>
                <w:rFonts w:asciiTheme="minorEastAsia" w:eastAsiaTheme="minorEastAsia" w:hAnsiTheme="minorEastAsia" w:hint="default"/>
              </w:rPr>
            </w:pPr>
            <w:r w:rsidRPr="00041FEE">
              <w:rPr>
                <w:rFonts w:asciiTheme="minorEastAsia" w:eastAsiaTheme="minorEastAsia" w:hAnsiTheme="minorEastAsia"/>
              </w:rPr>
              <w:t>（目的）</w:t>
            </w:r>
          </w:p>
          <w:p w14:paraId="32D2818A" w14:textId="16E4D42F" w:rsidR="008F1A93" w:rsidRDefault="008F1A93" w:rsidP="00D349D3">
            <w:pPr>
              <w:jc w:val="left"/>
              <w:rPr>
                <w:rFonts w:asciiTheme="minorEastAsia" w:eastAsiaTheme="minorEastAsia" w:hAnsiTheme="minorEastAsia" w:hint="default"/>
              </w:rPr>
            </w:pPr>
            <w:r w:rsidRPr="00041FEE">
              <w:rPr>
                <w:rFonts w:asciiTheme="minorEastAsia" w:eastAsiaTheme="minorEastAsia" w:hAnsiTheme="minorEastAsia"/>
              </w:rPr>
              <w:t>第１条～第</w:t>
            </w:r>
            <w:r w:rsidR="004E7A87">
              <w:rPr>
                <w:rFonts w:asciiTheme="minorEastAsia" w:eastAsiaTheme="minorEastAsia" w:hAnsiTheme="minorEastAsia"/>
              </w:rPr>
              <w:t>４</w:t>
            </w:r>
            <w:r w:rsidRPr="00041FEE">
              <w:rPr>
                <w:rFonts w:asciiTheme="minorEastAsia" w:eastAsiaTheme="minorEastAsia" w:hAnsiTheme="minorEastAsia"/>
              </w:rPr>
              <w:t>条　（略）</w:t>
            </w:r>
          </w:p>
          <w:p w14:paraId="63ACCC97" w14:textId="77777777" w:rsidR="00D4242B" w:rsidRPr="00041FEE" w:rsidRDefault="00D4242B" w:rsidP="00D349D3">
            <w:pPr>
              <w:jc w:val="left"/>
              <w:rPr>
                <w:rFonts w:asciiTheme="minorEastAsia" w:eastAsiaTheme="minorEastAsia" w:hAnsiTheme="minorEastAsia" w:hint="default"/>
              </w:rPr>
            </w:pPr>
          </w:p>
          <w:p w14:paraId="526D1CD2" w14:textId="77777777" w:rsidR="00D4242B" w:rsidRPr="00D4242B" w:rsidRDefault="00D4242B" w:rsidP="00D4242B">
            <w:pPr>
              <w:jc w:val="left"/>
              <w:textAlignment w:val="auto"/>
              <w:rPr>
                <w:rFonts w:asciiTheme="minorEastAsia" w:eastAsiaTheme="minorEastAsia" w:hAnsiTheme="minorEastAsia" w:cs="Times New Roman" w:hint="default"/>
                <w:color w:val="auto"/>
                <w:kern w:val="2"/>
                <w:szCs w:val="22"/>
              </w:rPr>
            </w:pPr>
            <w:r w:rsidRPr="00D4242B">
              <w:rPr>
                <w:rFonts w:asciiTheme="minorEastAsia" w:eastAsiaTheme="minorEastAsia" w:hAnsiTheme="minorEastAsia" w:cs="Times New Roman"/>
                <w:color w:val="auto"/>
                <w:kern w:val="2"/>
                <w:szCs w:val="22"/>
              </w:rPr>
              <w:t>（支援対象者）</w:t>
            </w:r>
          </w:p>
          <w:p w14:paraId="250D2507" w14:textId="7E8D3275" w:rsidR="00B6349E" w:rsidRPr="00B6349E" w:rsidRDefault="00B6349E" w:rsidP="00B6349E">
            <w:pPr>
              <w:ind w:left="283" w:hangingChars="118" w:hanging="283"/>
              <w:jc w:val="left"/>
              <w:textAlignment w:val="auto"/>
              <w:rPr>
                <w:rFonts w:asciiTheme="minorEastAsia" w:eastAsiaTheme="minorEastAsia" w:hAnsiTheme="minorEastAsia" w:cs="Times New Roman" w:hint="default"/>
                <w:color w:val="auto"/>
                <w:kern w:val="2"/>
                <w:szCs w:val="22"/>
              </w:rPr>
            </w:pPr>
            <w:r w:rsidRPr="00B6349E">
              <w:rPr>
                <w:rFonts w:asciiTheme="minorEastAsia" w:eastAsiaTheme="minorEastAsia" w:hAnsiTheme="minorEastAsia" w:cs="Times New Roman"/>
                <w:color w:val="auto"/>
                <w:kern w:val="2"/>
                <w:szCs w:val="22"/>
              </w:rPr>
              <w:t xml:space="preserve">第５条　</w:t>
            </w:r>
            <w:r w:rsidRPr="00D4242B">
              <w:rPr>
                <w:rFonts w:asciiTheme="minorEastAsia" w:eastAsiaTheme="minorEastAsia" w:hAnsiTheme="minorEastAsia"/>
              </w:rPr>
              <w:t>（略）</w:t>
            </w:r>
          </w:p>
          <w:p w14:paraId="5C925FBB" w14:textId="77777777" w:rsidR="00B6349E" w:rsidRPr="00B6349E" w:rsidRDefault="00B6349E" w:rsidP="00B6349E">
            <w:pPr>
              <w:ind w:left="425" w:hangingChars="177" w:hanging="425"/>
              <w:jc w:val="left"/>
              <w:textAlignment w:val="auto"/>
              <w:rPr>
                <w:rFonts w:asciiTheme="minorEastAsia" w:eastAsiaTheme="minorEastAsia" w:hAnsiTheme="minorEastAsia" w:cs="ＭＳ 明朝" w:hint="default"/>
                <w:color w:val="auto"/>
              </w:rPr>
            </w:pPr>
            <w:r w:rsidRPr="00B6349E">
              <w:rPr>
                <w:rFonts w:asciiTheme="minorEastAsia" w:eastAsiaTheme="minorEastAsia" w:hAnsiTheme="minorEastAsia" w:cs="ＭＳ 明朝"/>
                <w:color w:val="auto"/>
              </w:rPr>
              <w:t>（３）省エネルギー等対策推進計画（</w:t>
            </w:r>
            <w:r w:rsidRPr="00B6349E">
              <w:rPr>
                <w:rFonts w:asciiTheme="minorEastAsia" w:eastAsiaTheme="minorEastAsia" w:hAnsiTheme="minorEastAsia" w:cs="Times New Roman"/>
                <w:color w:val="auto"/>
                <w:kern w:val="2"/>
                <w:szCs w:val="22"/>
              </w:rPr>
              <w:t>実施要領第５の２に定めるものをいう。以下同じ。）</w:t>
            </w:r>
            <w:r w:rsidRPr="00B6349E">
              <w:rPr>
                <w:rFonts w:asciiTheme="minorEastAsia" w:eastAsiaTheme="minorEastAsia" w:hAnsiTheme="minorEastAsia" w:cs="ＭＳ 明朝"/>
                <w:color w:val="auto"/>
              </w:rPr>
              <w:t>を定め、次のア又はイの場合に応じて、それぞれ当該ア又はイに定める目標を掲げるとともに、取組内容等からその達成が確実であると認められること。</w:t>
            </w:r>
          </w:p>
          <w:p w14:paraId="766F69AA" w14:textId="77777777" w:rsidR="00B6349E" w:rsidRPr="00B6349E" w:rsidRDefault="00B6349E" w:rsidP="00B6349E">
            <w:pPr>
              <w:ind w:left="425" w:hangingChars="177" w:hanging="425"/>
              <w:jc w:val="left"/>
              <w:textAlignment w:val="auto"/>
              <w:rPr>
                <w:rFonts w:asciiTheme="minorEastAsia" w:eastAsiaTheme="minorEastAsia" w:hAnsiTheme="minorEastAsia" w:cs="Times New Roman" w:hint="default"/>
                <w:color w:val="auto"/>
                <w:kern w:val="2"/>
                <w:szCs w:val="22"/>
              </w:rPr>
            </w:pPr>
            <w:r w:rsidRPr="00B6349E">
              <w:rPr>
                <w:rFonts w:asciiTheme="minorEastAsia" w:eastAsiaTheme="minorEastAsia" w:hAnsiTheme="minorEastAsia" w:cs="ＭＳ 明朝"/>
                <w:color w:val="auto"/>
              </w:rPr>
              <w:t xml:space="preserve">　　　なお、省エネルギー等対策推進計画の目標達成に向け不断に取り組むこととともに、民間の金融商品や備蓄タンク等を活用して、燃油コストの変動の抑制に取り組むことが望ましい。</w:t>
            </w:r>
          </w:p>
          <w:p w14:paraId="08B64C40" w14:textId="1E91A2EE" w:rsidR="002F7FC0" w:rsidRPr="00B6349E" w:rsidRDefault="00B6349E" w:rsidP="00B6349E">
            <w:pPr>
              <w:ind w:leftChars="205" w:left="708" w:hangingChars="90" w:hanging="216"/>
              <w:jc w:val="left"/>
              <w:textAlignment w:val="auto"/>
              <w:rPr>
                <w:rFonts w:asciiTheme="minorEastAsia" w:eastAsiaTheme="minorEastAsia" w:hAnsiTheme="minorEastAsia" w:cs="Times New Roman" w:hint="default"/>
                <w:color w:val="auto"/>
                <w:kern w:val="2"/>
                <w:szCs w:val="22"/>
              </w:rPr>
            </w:pPr>
            <w:r w:rsidRPr="00B6349E">
              <w:rPr>
                <w:rFonts w:asciiTheme="minorEastAsia" w:eastAsiaTheme="minorEastAsia" w:hAnsiTheme="minorEastAsia" w:cs="Times New Roman"/>
                <w:color w:val="auto"/>
                <w:kern w:val="2"/>
                <w:szCs w:val="22"/>
              </w:rPr>
              <w:t xml:space="preserve">ア　</w:t>
            </w:r>
            <w:r w:rsidRPr="0097560E">
              <w:rPr>
                <w:rFonts w:asciiTheme="minorEastAsia" w:eastAsiaTheme="minorEastAsia" w:hAnsiTheme="minorEastAsia" w:cs="Times New Roman"/>
                <w:color w:val="FF0000"/>
                <w:kern w:val="2"/>
                <w:szCs w:val="22"/>
                <w:u w:val="single"/>
              </w:rPr>
              <w:t>平成30</w:t>
            </w:r>
            <w:r w:rsidRPr="0097560E">
              <w:rPr>
                <w:rFonts w:asciiTheme="minorEastAsia" w:eastAsiaTheme="minorEastAsia" w:hAnsiTheme="minorEastAsia" w:cs="Times New Roman"/>
                <w:color w:val="auto"/>
                <w:kern w:val="2"/>
                <w:szCs w:val="22"/>
              </w:rPr>
              <w:t>事業年度以降に計画を策定する場合</w:t>
            </w:r>
            <w:r w:rsidRPr="00B6349E">
              <w:rPr>
                <w:rFonts w:asciiTheme="minorEastAsia" w:eastAsiaTheme="minorEastAsia" w:hAnsiTheme="minorEastAsia" w:cs="Times New Roman"/>
                <w:color w:val="auto"/>
                <w:kern w:val="2"/>
                <w:szCs w:val="22"/>
              </w:rPr>
              <w:t>：策定事業年度の翌々事業年度までに10a当たり燃油使用量を15％以上削減することにより、燃油価格の変動が経営に及ぼす影響を緩和すること。</w:t>
            </w:r>
          </w:p>
          <w:p w14:paraId="476B3046" w14:textId="77777777" w:rsidR="00B6349E" w:rsidRPr="00B6349E" w:rsidRDefault="00B6349E" w:rsidP="00B6349E">
            <w:pPr>
              <w:ind w:leftChars="206" w:left="854" w:hangingChars="150" w:hanging="360"/>
              <w:jc w:val="left"/>
              <w:textAlignment w:val="auto"/>
              <w:rPr>
                <w:rFonts w:ascii="ＭＳ ゴシック" w:eastAsia="ＭＳ ゴシック" w:hAnsi="Century" w:cs="Times New Roman" w:hint="default"/>
                <w:color w:val="auto"/>
                <w:kern w:val="2"/>
                <w:szCs w:val="22"/>
              </w:rPr>
            </w:pPr>
            <w:r w:rsidRPr="00B6349E">
              <w:rPr>
                <w:rFonts w:asciiTheme="minorEastAsia" w:eastAsiaTheme="minorEastAsia" w:hAnsiTheme="minorEastAsia" w:cs="Times New Roman"/>
                <w:color w:val="auto"/>
                <w:kern w:val="2"/>
                <w:szCs w:val="22"/>
              </w:rPr>
              <w:t xml:space="preserve">イ　</w:t>
            </w:r>
            <w:r w:rsidRPr="0097560E">
              <w:rPr>
                <w:rFonts w:asciiTheme="minorEastAsia" w:eastAsiaTheme="minorEastAsia" w:hAnsiTheme="minorEastAsia" w:cs="Times New Roman"/>
                <w:color w:val="auto"/>
                <w:kern w:val="2"/>
                <w:szCs w:val="22"/>
              </w:rPr>
              <w:t>平成</w:t>
            </w:r>
            <w:r w:rsidRPr="002F7FC0">
              <w:rPr>
                <w:rFonts w:asciiTheme="minorEastAsia" w:eastAsiaTheme="minorEastAsia" w:hAnsiTheme="minorEastAsia" w:cs="Times New Roman"/>
                <w:color w:val="FF0000"/>
                <w:kern w:val="2"/>
                <w:szCs w:val="22"/>
                <w:u w:val="single"/>
              </w:rPr>
              <w:t>29</w:t>
            </w:r>
            <w:r w:rsidRPr="0097560E">
              <w:rPr>
                <w:rFonts w:asciiTheme="minorEastAsia" w:eastAsiaTheme="minorEastAsia" w:hAnsiTheme="minorEastAsia" w:cs="Times New Roman"/>
                <w:color w:val="auto"/>
                <w:kern w:val="2"/>
                <w:szCs w:val="22"/>
              </w:rPr>
              <w:t>事業年度までに計画を策定し</w:t>
            </w:r>
            <w:r w:rsidRPr="00B6349E">
              <w:rPr>
                <w:rFonts w:asciiTheme="minorEastAsia" w:eastAsiaTheme="minorEastAsia" w:hAnsiTheme="minorEastAsia" w:cs="Times New Roman"/>
                <w:color w:val="auto"/>
                <w:kern w:val="2"/>
                <w:szCs w:val="22"/>
              </w:rPr>
              <w:t>、継続して取り</w:t>
            </w:r>
            <w:r w:rsidRPr="00B6349E">
              <w:rPr>
                <w:rFonts w:asciiTheme="minorEastAsia" w:eastAsiaTheme="minorEastAsia" w:hAnsiTheme="minorEastAsia" w:cs="Times New Roman"/>
                <w:color w:val="auto"/>
                <w:kern w:val="2"/>
                <w:szCs w:val="22"/>
              </w:rPr>
              <w:lastRenderedPageBreak/>
              <w:t>組んでいる場合：策定事業年度の翌々事業年度までに、(ア）から(ウ)までのいずれか一つに取り組むことにより、燃油価格の変動が経営に及ぼす影響を緩和すること。</w:t>
            </w:r>
          </w:p>
          <w:p w14:paraId="67A73A73" w14:textId="77777777" w:rsidR="00B6349E" w:rsidRDefault="00B6349E" w:rsidP="00B6349E">
            <w:pPr>
              <w:ind w:left="283" w:hangingChars="118" w:hanging="283"/>
              <w:jc w:val="left"/>
              <w:rPr>
                <w:rFonts w:hint="default"/>
              </w:rPr>
            </w:pPr>
          </w:p>
          <w:p w14:paraId="157A3F85" w14:textId="77777777" w:rsidR="00B6349E" w:rsidRDefault="00B6349E" w:rsidP="00B6349E">
            <w:pPr>
              <w:ind w:left="283" w:hangingChars="118" w:hanging="283"/>
              <w:jc w:val="left"/>
              <w:rPr>
                <w:rFonts w:hint="default"/>
              </w:rPr>
            </w:pPr>
            <w:r w:rsidRPr="00DB03EF">
              <w:t>第</w:t>
            </w:r>
            <w:r>
              <w:t>６</w:t>
            </w:r>
            <w:r w:rsidRPr="00DB03EF">
              <w:t>条</w:t>
            </w:r>
            <w:r>
              <w:t>～第７条　（略）</w:t>
            </w:r>
            <w:r w:rsidRPr="00DB03EF">
              <w:t xml:space="preserve">　</w:t>
            </w:r>
          </w:p>
          <w:p w14:paraId="50C052EA" w14:textId="77777777" w:rsidR="008F1A93" w:rsidRPr="00B6349E" w:rsidRDefault="008F1A93" w:rsidP="00D349D3">
            <w:pPr>
              <w:jc w:val="left"/>
              <w:rPr>
                <w:rFonts w:asciiTheme="minorEastAsia" w:eastAsiaTheme="minorEastAsia" w:hAnsiTheme="minorEastAsia" w:hint="default"/>
              </w:rPr>
            </w:pPr>
          </w:p>
          <w:p w14:paraId="60B1B977" w14:textId="77777777" w:rsidR="0087225F" w:rsidRPr="0087225F" w:rsidRDefault="0087225F" w:rsidP="0087225F">
            <w:pPr>
              <w:jc w:val="left"/>
              <w:textAlignment w:val="auto"/>
              <w:rPr>
                <w:rFonts w:cs="Times New Roman" w:hint="default"/>
                <w:color w:val="auto"/>
                <w:kern w:val="2"/>
                <w:szCs w:val="22"/>
              </w:rPr>
            </w:pPr>
            <w:r w:rsidRPr="0087225F">
              <w:rPr>
                <w:rFonts w:cs="Times New Roman"/>
                <w:color w:val="auto"/>
                <w:kern w:val="2"/>
                <w:szCs w:val="22"/>
              </w:rPr>
              <w:t>（実施状況の報告）</w:t>
            </w:r>
          </w:p>
          <w:p w14:paraId="3047BEEC" w14:textId="72095649" w:rsidR="0087225F" w:rsidRPr="0087225F" w:rsidRDefault="0087225F" w:rsidP="0087225F">
            <w:pPr>
              <w:ind w:left="281" w:hangingChars="117" w:hanging="281"/>
              <w:jc w:val="left"/>
              <w:textAlignment w:val="auto"/>
              <w:rPr>
                <w:rFonts w:cs="Times New Roman" w:hint="default"/>
                <w:color w:val="auto"/>
                <w:kern w:val="2"/>
                <w:szCs w:val="22"/>
              </w:rPr>
            </w:pPr>
            <w:r w:rsidRPr="0087225F">
              <w:rPr>
                <w:rFonts w:cs="Times New Roman"/>
                <w:color w:val="auto"/>
                <w:kern w:val="2"/>
                <w:szCs w:val="22"/>
              </w:rPr>
              <w:t xml:space="preserve">第８条　</w:t>
            </w:r>
            <w:r w:rsidR="005F196D" w:rsidRPr="00041FEE">
              <w:t>（略）</w:t>
            </w:r>
          </w:p>
          <w:p w14:paraId="637B6657" w14:textId="51AAB0B2" w:rsidR="008443CE" w:rsidRPr="00041FEE" w:rsidRDefault="0087225F" w:rsidP="0087225F">
            <w:pPr>
              <w:ind w:left="425" w:hangingChars="177" w:hanging="425"/>
              <w:jc w:val="left"/>
              <w:rPr>
                <w:rFonts w:cs="ＭＳ 明朝" w:hint="default"/>
                <w:color w:val="FF0000"/>
                <w:u w:val="single"/>
              </w:rPr>
            </w:pPr>
            <w:r w:rsidRPr="00041FEE">
              <w:rPr>
                <w:rFonts w:cs="Times New Roman"/>
                <w:color w:val="auto"/>
                <w:kern w:val="2"/>
                <w:szCs w:val="22"/>
              </w:rPr>
              <w:t>２　協議会は、前</w:t>
            </w:r>
            <w:r w:rsidRPr="0071075A">
              <w:rPr>
                <w:rFonts w:cs="Times New Roman"/>
                <w:color w:val="FF0000"/>
                <w:kern w:val="2"/>
                <w:szCs w:val="22"/>
                <w:u w:val="single"/>
              </w:rPr>
              <w:t>号</w:t>
            </w:r>
            <w:r w:rsidRPr="00041FEE">
              <w:rPr>
                <w:rFonts w:cs="Times New Roman"/>
                <w:color w:val="auto"/>
                <w:kern w:val="2"/>
                <w:szCs w:val="22"/>
              </w:rPr>
              <w:t>の報告及び自らの実施状況を取りまとめ、実施要綱第７、実施要領第６及び事業主体要領第１４条により、事業主体に報告するものとする。</w:t>
            </w:r>
          </w:p>
          <w:p w14:paraId="1011FAAA" w14:textId="77777777" w:rsidR="008443CE" w:rsidRPr="00041FEE" w:rsidRDefault="008443CE" w:rsidP="008443CE">
            <w:pPr>
              <w:ind w:left="425" w:hangingChars="177" w:hanging="425"/>
              <w:jc w:val="left"/>
              <w:rPr>
                <w:rFonts w:cs="ＭＳ 明朝" w:hint="default"/>
                <w:color w:val="FF0000"/>
                <w:u w:val="single"/>
              </w:rPr>
            </w:pPr>
          </w:p>
          <w:p w14:paraId="6E67CB6E" w14:textId="0B488183" w:rsidR="0087225F" w:rsidRPr="00041FEE" w:rsidRDefault="0087225F" w:rsidP="0087225F">
            <w:pPr>
              <w:suppressAutoHyphens/>
              <w:wordWrap w:val="0"/>
              <w:overflowPunct w:val="0"/>
              <w:autoSpaceDE w:val="0"/>
              <w:autoSpaceDN w:val="0"/>
              <w:ind w:left="446" w:hangingChars="177" w:hanging="446"/>
              <w:jc w:val="left"/>
              <w:rPr>
                <w:rFonts w:asciiTheme="minorEastAsia" w:eastAsiaTheme="minorEastAsia" w:hAnsiTheme="minorEastAsia" w:hint="default"/>
                <w:color w:val="auto"/>
                <w:spacing w:val="6"/>
              </w:rPr>
            </w:pPr>
            <w:r w:rsidRPr="00041FEE">
              <w:rPr>
                <w:rFonts w:asciiTheme="minorEastAsia" w:eastAsiaTheme="minorEastAsia" w:hAnsiTheme="minorEastAsia"/>
                <w:color w:val="auto"/>
                <w:spacing w:val="6"/>
              </w:rPr>
              <w:t>第９条～第１３条　　　（略）</w:t>
            </w:r>
          </w:p>
          <w:p w14:paraId="1CCA042E" w14:textId="77777777" w:rsidR="008443CE" w:rsidRPr="00041FEE" w:rsidRDefault="008443CE" w:rsidP="008443CE">
            <w:pPr>
              <w:ind w:left="425" w:hangingChars="177" w:hanging="425"/>
              <w:jc w:val="left"/>
              <w:rPr>
                <w:rFonts w:asciiTheme="minorEastAsia" w:eastAsiaTheme="minorEastAsia" w:hAnsiTheme="minorEastAsia" w:cs="ＭＳ 明朝" w:hint="default"/>
                <w:color w:val="FF0000"/>
                <w:u w:val="single"/>
              </w:rPr>
            </w:pPr>
          </w:p>
          <w:p w14:paraId="565ED02A" w14:textId="77777777" w:rsidR="00782A07" w:rsidRPr="00041FEE" w:rsidRDefault="00782A07" w:rsidP="00782A07">
            <w:pPr>
              <w:ind w:left="283" w:hangingChars="118" w:hanging="283"/>
              <w:jc w:val="left"/>
              <w:rPr>
                <w:rFonts w:asciiTheme="minorEastAsia" w:eastAsiaTheme="minorEastAsia" w:hAnsiTheme="minorEastAsia" w:hint="default"/>
              </w:rPr>
            </w:pPr>
            <w:r w:rsidRPr="00041FEE">
              <w:rPr>
                <w:rFonts w:asciiTheme="minorEastAsia" w:eastAsiaTheme="minorEastAsia" w:hAnsiTheme="minorEastAsia"/>
              </w:rPr>
              <w:t>（燃油購入数量等の設定）</w:t>
            </w:r>
          </w:p>
          <w:p w14:paraId="7E0E008C" w14:textId="77777777" w:rsidR="002C3902" w:rsidRDefault="00782A07" w:rsidP="00782A07">
            <w:pPr>
              <w:ind w:left="163" w:hangingChars="68" w:hanging="163"/>
              <w:jc w:val="left"/>
              <w:rPr>
                <w:rFonts w:asciiTheme="minorEastAsia" w:eastAsiaTheme="minorEastAsia" w:hAnsiTheme="minorEastAsia" w:hint="default"/>
              </w:rPr>
            </w:pPr>
            <w:r w:rsidRPr="00041FEE">
              <w:rPr>
                <w:rFonts w:asciiTheme="minorEastAsia" w:eastAsiaTheme="minorEastAsia" w:hAnsiTheme="minorEastAsia"/>
              </w:rPr>
              <w:t>第１４条　セーフティネットへの加入を希望する支援対象者（以下「加入申込者」という）又は前条により積立契約を締結した支援対象者（以下「加入者」という。）は、施設園芸用燃油価格差補填金（燃油価格の急上昇が施設園芸農業者の経営に及ぼす影響を緩和するための補填金をいう。以下「補填金」という。）に係る積立金の積立方式について、その構成員の事業参加者ごとに下表の選択肢からいずれかを選択し、別紙様式第７号による燃油購入数量等設定申込書（以下「数量等申込書」という。）により、補填金の対象となる燃油購入数量とともに、協議会に申し込むものとする。</w:t>
            </w:r>
          </w:p>
          <w:p w14:paraId="0E64B83F" w14:textId="681B6567" w:rsidR="00782A07" w:rsidRPr="00041FEE" w:rsidRDefault="00782A07" w:rsidP="002C3902">
            <w:pPr>
              <w:ind w:left="163" w:firstLineChars="100" w:firstLine="240"/>
              <w:jc w:val="left"/>
              <w:rPr>
                <w:rFonts w:asciiTheme="minorEastAsia" w:eastAsiaTheme="minorEastAsia" w:hAnsiTheme="minorEastAsia" w:hint="default"/>
              </w:rPr>
            </w:pPr>
            <w:r w:rsidRPr="00041FEE">
              <w:rPr>
                <w:rFonts w:asciiTheme="minorEastAsia" w:eastAsiaTheme="minorEastAsia" w:hAnsiTheme="minorEastAsia"/>
              </w:rPr>
              <w:lastRenderedPageBreak/>
              <w:t>なお、第１１条第２項による積立契約の更新等に伴い当該事業年度の燃油購入数量の追加を行う場合も同様とする。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905"/>
              <w:gridCol w:w="2954"/>
            </w:tblGrid>
            <w:tr w:rsidR="005F196D" w:rsidRPr="00041FEE" w14:paraId="6FFD882D" w14:textId="77777777" w:rsidTr="00DB7528">
              <w:tc>
                <w:tcPr>
                  <w:tcW w:w="2458" w:type="dxa"/>
                  <w:shd w:val="clear" w:color="auto" w:fill="auto"/>
                  <w:vAlign w:val="center"/>
                </w:tcPr>
                <w:p w14:paraId="77A38E34" w14:textId="77777777" w:rsidR="005F196D" w:rsidRPr="00041FEE" w:rsidRDefault="005F196D" w:rsidP="005F196D">
                  <w:pPr>
                    <w:jc w:val="center"/>
                    <w:rPr>
                      <w:rFonts w:asciiTheme="minorEastAsia" w:eastAsiaTheme="minorEastAsia" w:hAnsiTheme="minorEastAsia" w:hint="default"/>
                    </w:rPr>
                  </w:pPr>
                  <w:r w:rsidRPr="00041FEE">
                    <w:rPr>
                      <w:rFonts w:asciiTheme="minorEastAsia" w:eastAsiaTheme="minorEastAsia" w:hAnsiTheme="minorEastAsia"/>
                      <w:b/>
                      <w:color w:val="FF0000"/>
                      <w:spacing w:val="-1"/>
                      <w:szCs w:val="24"/>
                    </w:rPr>
                    <w:t xml:space="preserve">　</w:t>
                  </w:r>
                  <w:r w:rsidRPr="00041FEE">
                    <w:rPr>
                      <w:rFonts w:asciiTheme="minorEastAsia" w:eastAsiaTheme="minorEastAsia" w:hAnsiTheme="minorEastAsia"/>
                    </w:rPr>
                    <w:t>選択肢（積立方式）</w:t>
                  </w:r>
                </w:p>
              </w:tc>
              <w:tc>
                <w:tcPr>
                  <w:tcW w:w="912" w:type="dxa"/>
                  <w:shd w:val="clear" w:color="auto" w:fill="auto"/>
                  <w:vAlign w:val="center"/>
                </w:tcPr>
                <w:p w14:paraId="58935926" w14:textId="77777777" w:rsidR="005F196D" w:rsidRPr="00041FEE" w:rsidRDefault="005F196D" w:rsidP="005F196D">
                  <w:pPr>
                    <w:jc w:val="center"/>
                    <w:rPr>
                      <w:rFonts w:asciiTheme="minorEastAsia" w:eastAsiaTheme="minorEastAsia" w:hAnsiTheme="minorEastAsia" w:hint="default"/>
                    </w:rPr>
                  </w:pPr>
                  <w:r w:rsidRPr="00041FEE">
                    <w:rPr>
                      <w:rFonts w:asciiTheme="minorEastAsia" w:eastAsiaTheme="minorEastAsia" w:hAnsiTheme="minorEastAsia"/>
                    </w:rPr>
                    <w:t>油種</w:t>
                  </w:r>
                </w:p>
              </w:tc>
              <w:tc>
                <w:tcPr>
                  <w:tcW w:w="2991" w:type="dxa"/>
                  <w:shd w:val="clear" w:color="auto" w:fill="auto"/>
                  <w:vAlign w:val="center"/>
                </w:tcPr>
                <w:p w14:paraId="27CFF52D" w14:textId="77777777" w:rsidR="005F196D" w:rsidRPr="00041FEE" w:rsidRDefault="005F196D" w:rsidP="005F196D">
                  <w:pPr>
                    <w:jc w:val="center"/>
                    <w:rPr>
                      <w:rFonts w:asciiTheme="minorEastAsia" w:eastAsiaTheme="minorEastAsia" w:hAnsiTheme="minorEastAsia" w:hint="default"/>
                    </w:rPr>
                  </w:pPr>
                  <w:r w:rsidRPr="00041FEE">
                    <w:rPr>
                      <w:rFonts w:asciiTheme="minorEastAsia" w:eastAsiaTheme="minorEastAsia" w:hAnsiTheme="minorEastAsia"/>
                    </w:rPr>
                    <w:t>積立額の算出式</w:t>
                  </w:r>
                </w:p>
              </w:tc>
            </w:tr>
            <w:tr w:rsidR="005F196D" w:rsidRPr="00041FEE" w14:paraId="62AAFFF5" w14:textId="77777777" w:rsidTr="00DB7528">
              <w:tc>
                <w:tcPr>
                  <w:tcW w:w="2458" w:type="dxa"/>
                  <w:vMerge w:val="restart"/>
                  <w:shd w:val="clear" w:color="auto" w:fill="auto"/>
                  <w:vAlign w:val="center"/>
                </w:tcPr>
                <w:p w14:paraId="6C5E1577" w14:textId="77777777" w:rsidR="005F196D" w:rsidRPr="00041FEE" w:rsidRDefault="005F196D" w:rsidP="005F196D">
                  <w:pPr>
                    <w:rPr>
                      <w:rFonts w:asciiTheme="minorEastAsia" w:eastAsiaTheme="minorEastAsia" w:hAnsiTheme="minorEastAsia" w:hint="default"/>
                      <w:color w:val="auto"/>
                    </w:rPr>
                  </w:pPr>
                  <w:r w:rsidRPr="00041FEE">
                    <w:rPr>
                      <w:rFonts w:asciiTheme="minorEastAsia" w:eastAsiaTheme="minorEastAsia" w:hAnsiTheme="minorEastAsia"/>
                      <w:color w:val="auto"/>
                    </w:rPr>
                    <w:t>燃油価格の115％相当までの高騰に備え積み立てる場合</w:t>
                  </w:r>
                </w:p>
              </w:tc>
              <w:tc>
                <w:tcPr>
                  <w:tcW w:w="912" w:type="dxa"/>
                  <w:shd w:val="clear" w:color="auto" w:fill="auto"/>
                  <w:vAlign w:val="center"/>
                </w:tcPr>
                <w:p w14:paraId="706A5E74" w14:textId="77777777" w:rsidR="005F196D" w:rsidRPr="00041FEE" w:rsidRDefault="005F196D" w:rsidP="005F196D">
                  <w:pPr>
                    <w:jc w:val="center"/>
                    <w:rPr>
                      <w:rFonts w:asciiTheme="minorEastAsia" w:eastAsiaTheme="minorEastAsia" w:hAnsiTheme="minorEastAsia" w:hint="default"/>
                      <w:color w:val="auto"/>
                    </w:rPr>
                  </w:pPr>
                  <w:r w:rsidRPr="00041FEE">
                    <w:rPr>
                      <w:rFonts w:asciiTheme="minorEastAsia" w:eastAsiaTheme="minorEastAsia" w:hAnsiTheme="minorEastAsia"/>
                      <w:color w:val="auto"/>
                    </w:rPr>
                    <w:t>Ａ重油</w:t>
                  </w:r>
                </w:p>
              </w:tc>
              <w:tc>
                <w:tcPr>
                  <w:tcW w:w="2991" w:type="dxa"/>
                  <w:shd w:val="clear" w:color="auto" w:fill="auto"/>
                  <w:vAlign w:val="center"/>
                </w:tcPr>
                <w:p w14:paraId="3BB67B75" w14:textId="77777777" w:rsidR="005F196D" w:rsidRPr="00041FEE" w:rsidRDefault="005F196D" w:rsidP="005F196D">
                  <w:pPr>
                    <w:rPr>
                      <w:rFonts w:asciiTheme="minorEastAsia" w:eastAsiaTheme="minorEastAsia" w:hAnsiTheme="minorEastAsia" w:hint="default"/>
                      <w:color w:val="auto"/>
                      <w:u w:val="single"/>
                    </w:rPr>
                  </w:pPr>
                  <w:r w:rsidRPr="0071075A">
                    <w:rPr>
                      <w:rFonts w:asciiTheme="minorEastAsia" w:eastAsiaTheme="minorEastAsia" w:hAnsiTheme="minorEastAsia"/>
                      <w:color w:val="FF0000"/>
                      <w:u w:val="single"/>
                    </w:rPr>
                    <w:t>12.7</w:t>
                  </w:r>
                  <w:r w:rsidRPr="00041FEE">
                    <w:rPr>
                      <w:rFonts w:asciiTheme="minorEastAsia" w:eastAsiaTheme="minorEastAsia" w:hAnsiTheme="minorEastAsia"/>
                      <w:color w:val="auto"/>
                    </w:rPr>
                    <w:t>円/ﾘｯﾄﾙ×燃油購入数量×1/2</w:t>
                  </w:r>
                </w:p>
              </w:tc>
            </w:tr>
            <w:tr w:rsidR="005F196D" w:rsidRPr="00041FEE" w14:paraId="1734B1F0" w14:textId="77777777" w:rsidTr="00DB7528">
              <w:tc>
                <w:tcPr>
                  <w:tcW w:w="2458" w:type="dxa"/>
                  <w:vMerge/>
                  <w:shd w:val="clear" w:color="auto" w:fill="auto"/>
                  <w:vAlign w:val="center"/>
                </w:tcPr>
                <w:p w14:paraId="552A4CA5" w14:textId="77777777" w:rsidR="005F196D" w:rsidRPr="00041FEE" w:rsidRDefault="005F196D" w:rsidP="005F196D">
                  <w:pPr>
                    <w:jc w:val="center"/>
                    <w:rPr>
                      <w:rFonts w:asciiTheme="minorEastAsia" w:eastAsiaTheme="minorEastAsia" w:hAnsiTheme="minorEastAsia" w:hint="default"/>
                      <w:color w:val="auto"/>
                    </w:rPr>
                  </w:pPr>
                </w:p>
              </w:tc>
              <w:tc>
                <w:tcPr>
                  <w:tcW w:w="912" w:type="dxa"/>
                  <w:shd w:val="clear" w:color="auto" w:fill="auto"/>
                  <w:vAlign w:val="center"/>
                </w:tcPr>
                <w:p w14:paraId="52CB2C55" w14:textId="77777777" w:rsidR="005F196D" w:rsidRPr="00041FEE" w:rsidRDefault="005F196D" w:rsidP="005F196D">
                  <w:pPr>
                    <w:jc w:val="center"/>
                    <w:rPr>
                      <w:rFonts w:asciiTheme="minorEastAsia" w:eastAsiaTheme="minorEastAsia" w:hAnsiTheme="minorEastAsia" w:hint="default"/>
                      <w:color w:val="auto"/>
                    </w:rPr>
                  </w:pPr>
                  <w:r w:rsidRPr="00041FEE">
                    <w:rPr>
                      <w:rFonts w:asciiTheme="minorEastAsia" w:eastAsiaTheme="minorEastAsia" w:hAnsiTheme="minorEastAsia"/>
                      <w:color w:val="auto"/>
                    </w:rPr>
                    <w:t>灯油</w:t>
                  </w:r>
                </w:p>
              </w:tc>
              <w:tc>
                <w:tcPr>
                  <w:tcW w:w="2991" w:type="dxa"/>
                  <w:shd w:val="clear" w:color="auto" w:fill="auto"/>
                  <w:vAlign w:val="center"/>
                </w:tcPr>
                <w:p w14:paraId="5770A347" w14:textId="77777777" w:rsidR="005F196D" w:rsidRPr="00041FEE" w:rsidRDefault="005F196D" w:rsidP="005F196D">
                  <w:pPr>
                    <w:rPr>
                      <w:rFonts w:asciiTheme="minorEastAsia" w:eastAsiaTheme="minorEastAsia" w:hAnsiTheme="minorEastAsia" w:hint="default"/>
                      <w:color w:val="auto"/>
                      <w:u w:val="single"/>
                    </w:rPr>
                  </w:pPr>
                  <w:r w:rsidRPr="0071075A">
                    <w:rPr>
                      <w:rFonts w:asciiTheme="minorEastAsia" w:eastAsiaTheme="minorEastAsia" w:hAnsiTheme="minorEastAsia"/>
                      <w:color w:val="FF0000"/>
                      <w:u w:val="single"/>
                    </w:rPr>
                    <w:t>13.5</w:t>
                  </w:r>
                  <w:r w:rsidRPr="00041FEE">
                    <w:rPr>
                      <w:rFonts w:asciiTheme="minorEastAsia" w:eastAsiaTheme="minorEastAsia" w:hAnsiTheme="minorEastAsia"/>
                      <w:color w:val="auto"/>
                      <w:u w:val="single"/>
                    </w:rPr>
                    <w:t>円</w:t>
                  </w:r>
                  <w:r w:rsidRPr="00041FEE">
                    <w:rPr>
                      <w:rFonts w:asciiTheme="minorEastAsia" w:eastAsiaTheme="minorEastAsia" w:hAnsiTheme="minorEastAsia"/>
                      <w:color w:val="auto"/>
                    </w:rPr>
                    <w:t>/ﾘｯﾄﾙ×燃油購入数量×1/2</w:t>
                  </w:r>
                </w:p>
              </w:tc>
            </w:tr>
            <w:tr w:rsidR="005F196D" w:rsidRPr="00041FEE" w14:paraId="6DAAABAB" w14:textId="77777777" w:rsidTr="00DB7528">
              <w:trPr>
                <w:trHeight w:val="397"/>
              </w:trPr>
              <w:tc>
                <w:tcPr>
                  <w:tcW w:w="2458" w:type="dxa"/>
                  <w:vMerge w:val="restart"/>
                  <w:shd w:val="clear" w:color="auto" w:fill="auto"/>
                  <w:vAlign w:val="center"/>
                </w:tcPr>
                <w:p w14:paraId="5B9B012E" w14:textId="77777777" w:rsidR="005F196D" w:rsidRPr="00041FEE" w:rsidRDefault="005F196D" w:rsidP="005F196D">
                  <w:pPr>
                    <w:rPr>
                      <w:rFonts w:asciiTheme="minorEastAsia" w:eastAsiaTheme="minorEastAsia" w:hAnsiTheme="minorEastAsia" w:hint="default"/>
                      <w:color w:val="auto"/>
                    </w:rPr>
                  </w:pPr>
                  <w:r w:rsidRPr="00041FEE">
                    <w:rPr>
                      <w:rFonts w:asciiTheme="minorEastAsia" w:eastAsiaTheme="minorEastAsia" w:hAnsiTheme="minorEastAsia"/>
                      <w:color w:val="auto"/>
                    </w:rPr>
                    <w:t>燃油価格の130％相当までの高騰に備え積み立てる場合</w:t>
                  </w:r>
                </w:p>
              </w:tc>
              <w:tc>
                <w:tcPr>
                  <w:tcW w:w="912" w:type="dxa"/>
                  <w:shd w:val="clear" w:color="auto" w:fill="auto"/>
                  <w:vAlign w:val="center"/>
                </w:tcPr>
                <w:p w14:paraId="64891601" w14:textId="77777777" w:rsidR="005F196D" w:rsidRPr="00041FEE" w:rsidRDefault="005F196D" w:rsidP="005F196D">
                  <w:pPr>
                    <w:jc w:val="center"/>
                    <w:rPr>
                      <w:rFonts w:asciiTheme="minorEastAsia" w:eastAsiaTheme="minorEastAsia" w:hAnsiTheme="minorEastAsia" w:hint="default"/>
                      <w:color w:val="auto"/>
                    </w:rPr>
                  </w:pPr>
                  <w:r w:rsidRPr="00041FEE">
                    <w:rPr>
                      <w:rFonts w:asciiTheme="minorEastAsia" w:eastAsiaTheme="minorEastAsia" w:hAnsiTheme="minorEastAsia"/>
                      <w:color w:val="auto"/>
                    </w:rPr>
                    <w:t>Ａ重油</w:t>
                  </w:r>
                </w:p>
              </w:tc>
              <w:tc>
                <w:tcPr>
                  <w:tcW w:w="2991" w:type="dxa"/>
                  <w:shd w:val="clear" w:color="auto" w:fill="auto"/>
                  <w:vAlign w:val="center"/>
                </w:tcPr>
                <w:p w14:paraId="7A1E0B76" w14:textId="77777777" w:rsidR="005F196D" w:rsidRPr="00041FEE" w:rsidRDefault="005F196D" w:rsidP="005F196D">
                  <w:pPr>
                    <w:rPr>
                      <w:rFonts w:asciiTheme="minorEastAsia" w:eastAsiaTheme="minorEastAsia" w:hAnsiTheme="minorEastAsia" w:hint="default"/>
                      <w:color w:val="auto"/>
                    </w:rPr>
                  </w:pPr>
                  <w:r w:rsidRPr="0071075A">
                    <w:rPr>
                      <w:rFonts w:asciiTheme="minorEastAsia" w:eastAsiaTheme="minorEastAsia" w:hAnsiTheme="minorEastAsia"/>
                      <w:color w:val="FF0000"/>
                      <w:u w:val="single"/>
                    </w:rPr>
                    <w:t>25.4</w:t>
                  </w:r>
                  <w:r w:rsidRPr="00041FEE">
                    <w:rPr>
                      <w:rFonts w:asciiTheme="minorEastAsia" w:eastAsiaTheme="minorEastAsia" w:hAnsiTheme="minorEastAsia"/>
                      <w:color w:val="auto"/>
                    </w:rPr>
                    <w:t>円/ﾘｯﾄﾙ×燃油購入数量×1/2</w:t>
                  </w:r>
                </w:p>
              </w:tc>
            </w:tr>
            <w:tr w:rsidR="005F196D" w:rsidRPr="00041FEE" w14:paraId="6D6D77AD" w14:textId="77777777" w:rsidTr="00DB7528">
              <w:trPr>
                <w:trHeight w:val="397"/>
              </w:trPr>
              <w:tc>
                <w:tcPr>
                  <w:tcW w:w="2458" w:type="dxa"/>
                  <w:vMerge/>
                  <w:shd w:val="clear" w:color="auto" w:fill="auto"/>
                  <w:vAlign w:val="center"/>
                </w:tcPr>
                <w:p w14:paraId="4788BE6D" w14:textId="77777777" w:rsidR="005F196D" w:rsidRPr="00041FEE" w:rsidRDefault="005F196D" w:rsidP="005F196D">
                  <w:pPr>
                    <w:rPr>
                      <w:rFonts w:asciiTheme="minorEastAsia" w:eastAsiaTheme="minorEastAsia" w:hAnsiTheme="minorEastAsia" w:hint="default"/>
                      <w:color w:val="auto"/>
                    </w:rPr>
                  </w:pPr>
                </w:p>
              </w:tc>
              <w:tc>
                <w:tcPr>
                  <w:tcW w:w="912" w:type="dxa"/>
                  <w:shd w:val="clear" w:color="auto" w:fill="auto"/>
                  <w:vAlign w:val="center"/>
                </w:tcPr>
                <w:p w14:paraId="63FE2673" w14:textId="77777777" w:rsidR="005F196D" w:rsidRPr="00041FEE" w:rsidRDefault="005F196D" w:rsidP="005F196D">
                  <w:pPr>
                    <w:jc w:val="center"/>
                    <w:rPr>
                      <w:rFonts w:asciiTheme="minorEastAsia" w:eastAsiaTheme="minorEastAsia" w:hAnsiTheme="minorEastAsia" w:hint="default"/>
                      <w:color w:val="auto"/>
                    </w:rPr>
                  </w:pPr>
                  <w:r w:rsidRPr="00041FEE">
                    <w:rPr>
                      <w:rFonts w:asciiTheme="minorEastAsia" w:eastAsiaTheme="minorEastAsia" w:hAnsiTheme="minorEastAsia"/>
                      <w:color w:val="auto"/>
                    </w:rPr>
                    <w:t>灯油</w:t>
                  </w:r>
                </w:p>
              </w:tc>
              <w:tc>
                <w:tcPr>
                  <w:tcW w:w="2991" w:type="dxa"/>
                  <w:shd w:val="clear" w:color="auto" w:fill="auto"/>
                  <w:vAlign w:val="center"/>
                </w:tcPr>
                <w:p w14:paraId="2815F53A" w14:textId="77777777" w:rsidR="005F196D" w:rsidRPr="00041FEE" w:rsidRDefault="005F196D" w:rsidP="005F196D">
                  <w:pPr>
                    <w:rPr>
                      <w:rFonts w:asciiTheme="minorEastAsia" w:eastAsiaTheme="minorEastAsia" w:hAnsiTheme="minorEastAsia" w:hint="default"/>
                      <w:color w:val="auto"/>
                    </w:rPr>
                  </w:pPr>
                  <w:r w:rsidRPr="0071075A">
                    <w:rPr>
                      <w:rFonts w:asciiTheme="minorEastAsia" w:eastAsiaTheme="minorEastAsia" w:hAnsiTheme="minorEastAsia"/>
                      <w:color w:val="FF0000"/>
                      <w:u w:val="single"/>
                    </w:rPr>
                    <w:t>26.9</w:t>
                  </w:r>
                  <w:r w:rsidRPr="00041FEE">
                    <w:rPr>
                      <w:rFonts w:asciiTheme="minorEastAsia" w:eastAsiaTheme="minorEastAsia" w:hAnsiTheme="minorEastAsia"/>
                      <w:color w:val="auto"/>
                    </w:rPr>
                    <w:t>円/ﾘｯﾄﾙ×燃油購入数量×1/2</w:t>
                  </w:r>
                </w:p>
              </w:tc>
            </w:tr>
            <w:tr w:rsidR="005F196D" w:rsidRPr="00041FEE" w14:paraId="560B214A" w14:textId="77777777" w:rsidTr="00DB7528">
              <w:trPr>
                <w:trHeight w:val="397"/>
              </w:trPr>
              <w:tc>
                <w:tcPr>
                  <w:tcW w:w="2458" w:type="dxa"/>
                  <w:vMerge w:val="restart"/>
                  <w:shd w:val="clear" w:color="auto" w:fill="auto"/>
                  <w:vAlign w:val="center"/>
                </w:tcPr>
                <w:p w14:paraId="1B951E3D" w14:textId="77777777" w:rsidR="005F196D" w:rsidRPr="00041FEE" w:rsidRDefault="005F196D" w:rsidP="005F196D">
                  <w:pPr>
                    <w:rPr>
                      <w:rFonts w:asciiTheme="minorEastAsia" w:eastAsiaTheme="minorEastAsia" w:hAnsiTheme="minorEastAsia" w:hint="default"/>
                      <w:color w:val="auto"/>
                    </w:rPr>
                  </w:pPr>
                  <w:r w:rsidRPr="00041FEE">
                    <w:rPr>
                      <w:rFonts w:asciiTheme="minorEastAsia" w:eastAsiaTheme="minorEastAsia" w:hAnsiTheme="minorEastAsia"/>
                      <w:color w:val="auto"/>
                    </w:rPr>
                    <w:t>燃油価格の150％相当までの高騰に備え積み立てる場合</w:t>
                  </w:r>
                </w:p>
              </w:tc>
              <w:tc>
                <w:tcPr>
                  <w:tcW w:w="912" w:type="dxa"/>
                  <w:shd w:val="clear" w:color="auto" w:fill="auto"/>
                  <w:vAlign w:val="center"/>
                </w:tcPr>
                <w:p w14:paraId="42B5BD56" w14:textId="77777777" w:rsidR="005F196D" w:rsidRPr="00041FEE" w:rsidRDefault="005F196D" w:rsidP="005F196D">
                  <w:pPr>
                    <w:jc w:val="center"/>
                    <w:rPr>
                      <w:rFonts w:asciiTheme="minorEastAsia" w:eastAsiaTheme="minorEastAsia" w:hAnsiTheme="minorEastAsia" w:hint="default"/>
                      <w:color w:val="auto"/>
                    </w:rPr>
                  </w:pPr>
                  <w:r w:rsidRPr="00041FEE">
                    <w:rPr>
                      <w:rFonts w:asciiTheme="minorEastAsia" w:eastAsiaTheme="minorEastAsia" w:hAnsiTheme="minorEastAsia"/>
                      <w:color w:val="auto"/>
                    </w:rPr>
                    <w:t>Ａ重油</w:t>
                  </w:r>
                </w:p>
              </w:tc>
              <w:tc>
                <w:tcPr>
                  <w:tcW w:w="2991" w:type="dxa"/>
                  <w:shd w:val="clear" w:color="auto" w:fill="auto"/>
                  <w:vAlign w:val="center"/>
                </w:tcPr>
                <w:p w14:paraId="512D6867" w14:textId="77777777" w:rsidR="005F196D" w:rsidRPr="00041FEE" w:rsidRDefault="005F196D" w:rsidP="005F196D">
                  <w:pPr>
                    <w:rPr>
                      <w:rFonts w:asciiTheme="minorEastAsia" w:eastAsiaTheme="minorEastAsia" w:hAnsiTheme="minorEastAsia" w:hint="default"/>
                      <w:color w:val="auto"/>
                    </w:rPr>
                  </w:pPr>
                  <w:r w:rsidRPr="0071075A">
                    <w:rPr>
                      <w:rFonts w:asciiTheme="minorEastAsia" w:eastAsiaTheme="minorEastAsia" w:hAnsiTheme="minorEastAsia"/>
                      <w:color w:val="FF0000"/>
                      <w:u w:val="single"/>
                    </w:rPr>
                    <w:t>42.4</w:t>
                  </w:r>
                  <w:r w:rsidRPr="00041FEE">
                    <w:rPr>
                      <w:rFonts w:asciiTheme="minorEastAsia" w:eastAsiaTheme="minorEastAsia" w:hAnsiTheme="minorEastAsia"/>
                      <w:color w:val="auto"/>
                    </w:rPr>
                    <w:t>円/ﾘｯﾄﾙ×燃油購入数量×1/2</w:t>
                  </w:r>
                </w:p>
              </w:tc>
            </w:tr>
            <w:tr w:rsidR="005F196D" w:rsidRPr="00041FEE" w14:paraId="5702FC8B" w14:textId="77777777" w:rsidTr="00DB7528">
              <w:trPr>
                <w:trHeight w:val="397"/>
              </w:trPr>
              <w:tc>
                <w:tcPr>
                  <w:tcW w:w="2458" w:type="dxa"/>
                  <w:vMerge/>
                  <w:shd w:val="clear" w:color="auto" w:fill="auto"/>
                </w:tcPr>
                <w:p w14:paraId="040906FA" w14:textId="77777777" w:rsidR="005F196D" w:rsidRPr="00041FEE" w:rsidRDefault="005F196D" w:rsidP="005F196D">
                  <w:pPr>
                    <w:jc w:val="left"/>
                    <w:rPr>
                      <w:rFonts w:asciiTheme="minorEastAsia" w:eastAsiaTheme="minorEastAsia" w:hAnsiTheme="minorEastAsia" w:hint="default"/>
                      <w:color w:val="auto"/>
                    </w:rPr>
                  </w:pPr>
                </w:p>
              </w:tc>
              <w:tc>
                <w:tcPr>
                  <w:tcW w:w="912" w:type="dxa"/>
                  <w:shd w:val="clear" w:color="auto" w:fill="auto"/>
                  <w:vAlign w:val="center"/>
                </w:tcPr>
                <w:p w14:paraId="695D584B" w14:textId="77777777" w:rsidR="005F196D" w:rsidRPr="00041FEE" w:rsidRDefault="005F196D" w:rsidP="005F196D">
                  <w:pPr>
                    <w:jc w:val="center"/>
                    <w:rPr>
                      <w:rFonts w:asciiTheme="minorEastAsia" w:eastAsiaTheme="minorEastAsia" w:hAnsiTheme="minorEastAsia" w:hint="default"/>
                      <w:color w:val="auto"/>
                    </w:rPr>
                  </w:pPr>
                  <w:r w:rsidRPr="00041FEE">
                    <w:rPr>
                      <w:rFonts w:asciiTheme="minorEastAsia" w:eastAsiaTheme="minorEastAsia" w:hAnsiTheme="minorEastAsia"/>
                      <w:color w:val="auto"/>
                    </w:rPr>
                    <w:t>灯油</w:t>
                  </w:r>
                </w:p>
              </w:tc>
              <w:tc>
                <w:tcPr>
                  <w:tcW w:w="2991" w:type="dxa"/>
                  <w:shd w:val="clear" w:color="auto" w:fill="auto"/>
                  <w:vAlign w:val="center"/>
                </w:tcPr>
                <w:p w14:paraId="3D112D48" w14:textId="77777777" w:rsidR="005F196D" w:rsidRPr="00041FEE" w:rsidRDefault="005F196D" w:rsidP="005F196D">
                  <w:pPr>
                    <w:rPr>
                      <w:rFonts w:asciiTheme="minorEastAsia" w:eastAsiaTheme="minorEastAsia" w:hAnsiTheme="minorEastAsia" w:hint="default"/>
                      <w:color w:val="auto"/>
                    </w:rPr>
                  </w:pPr>
                  <w:r w:rsidRPr="0071075A">
                    <w:rPr>
                      <w:rFonts w:asciiTheme="minorEastAsia" w:eastAsiaTheme="minorEastAsia" w:hAnsiTheme="minorEastAsia"/>
                      <w:color w:val="FF0000"/>
                      <w:u w:val="single"/>
                    </w:rPr>
                    <w:t>44.9</w:t>
                  </w:r>
                  <w:r w:rsidRPr="00041FEE">
                    <w:rPr>
                      <w:rFonts w:asciiTheme="minorEastAsia" w:eastAsiaTheme="minorEastAsia" w:hAnsiTheme="minorEastAsia"/>
                      <w:color w:val="auto"/>
                    </w:rPr>
                    <w:t>円/ﾘｯﾄﾙ×燃油購入数量×1/2</w:t>
                  </w:r>
                </w:p>
              </w:tc>
            </w:tr>
          </w:tbl>
          <w:p w14:paraId="48FD0C52" w14:textId="77777777" w:rsidR="00782A07" w:rsidRPr="00041FEE" w:rsidRDefault="00782A07" w:rsidP="00782A07">
            <w:pPr>
              <w:ind w:left="163" w:hangingChars="68" w:hanging="163"/>
              <w:jc w:val="left"/>
              <w:rPr>
                <w:rFonts w:asciiTheme="minorEastAsia" w:eastAsiaTheme="minorEastAsia" w:hAnsiTheme="minorEastAsia" w:hint="default"/>
              </w:rPr>
            </w:pPr>
          </w:p>
          <w:p w14:paraId="63EF6477" w14:textId="77777777" w:rsidR="00782A07" w:rsidRPr="00041FEE" w:rsidRDefault="00782A07" w:rsidP="007179BF">
            <w:pPr>
              <w:ind w:left="283" w:hangingChars="118" w:hanging="283"/>
              <w:jc w:val="left"/>
              <w:rPr>
                <w:rFonts w:asciiTheme="minorEastAsia" w:eastAsiaTheme="minorEastAsia" w:hAnsiTheme="minorEastAsia" w:hint="default"/>
                <w:color w:val="auto"/>
              </w:rPr>
            </w:pPr>
            <w:r w:rsidRPr="00041FEE">
              <w:rPr>
                <w:rFonts w:asciiTheme="minorEastAsia" w:eastAsiaTheme="minorEastAsia" w:hAnsiTheme="minorEastAsia"/>
                <w:color w:val="auto"/>
              </w:rPr>
              <w:t>第１４条第２項～第１７条　　　（略）</w:t>
            </w:r>
          </w:p>
          <w:p w14:paraId="71EE2648" w14:textId="77777777" w:rsidR="00782A07" w:rsidRPr="00041FEE" w:rsidRDefault="00782A07" w:rsidP="007179BF">
            <w:pPr>
              <w:ind w:left="283" w:hangingChars="118" w:hanging="283"/>
              <w:jc w:val="left"/>
              <w:rPr>
                <w:rFonts w:asciiTheme="minorEastAsia" w:eastAsiaTheme="minorEastAsia" w:hAnsiTheme="minorEastAsia" w:hint="default"/>
                <w:color w:val="auto"/>
              </w:rPr>
            </w:pPr>
          </w:p>
          <w:p w14:paraId="583F9E6D" w14:textId="77777777" w:rsidR="00782A07" w:rsidRPr="00041FEE" w:rsidRDefault="00782A07" w:rsidP="00782A07">
            <w:pPr>
              <w:ind w:left="283" w:hangingChars="118" w:hanging="283"/>
              <w:jc w:val="left"/>
              <w:rPr>
                <w:rFonts w:asciiTheme="minorEastAsia" w:eastAsiaTheme="minorEastAsia" w:hAnsiTheme="minorEastAsia" w:hint="default"/>
              </w:rPr>
            </w:pPr>
            <w:r w:rsidRPr="00041FEE">
              <w:rPr>
                <w:rFonts w:asciiTheme="minorEastAsia" w:eastAsiaTheme="minorEastAsia" w:hAnsiTheme="minorEastAsia"/>
              </w:rPr>
              <w:t>（補填金の交付）</w:t>
            </w:r>
          </w:p>
          <w:p w14:paraId="4BEF2E16" w14:textId="300FB991" w:rsidR="005F196D" w:rsidRPr="00041FEE" w:rsidRDefault="005F196D" w:rsidP="005F196D">
            <w:pPr>
              <w:ind w:left="283" w:hangingChars="118" w:hanging="283"/>
              <w:jc w:val="left"/>
              <w:rPr>
                <w:rFonts w:asciiTheme="minorEastAsia" w:eastAsiaTheme="minorEastAsia" w:hAnsiTheme="minorEastAsia" w:hint="default"/>
                <w:color w:val="auto"/>
              </w:rPr>
            </w:pPr>
            <w:r w:rsidRPr="00041FEE">
              <w:rPr>
                <w:rFonts w:asciiTheme="minorEastAsia" w:eastAsiaTheme="minorEastAsia" w:hAnsiTheme="minorEastAsia"/>
              </w:rPr>
              <w:t>第１８条　協議会は、事業主体要領第１９条による事業主体からの通知を受けて、加入者に対する補填金の交付を行うものとする。この場合、事業主体が生産局長の承認を得て定める</w:t>
            </w:r>
            <w:r w:rsidRPr="0071075A">
              <w:rPr>
                <w:rFonts w:asciiTheme="minorEastAsia" w:eastAsiaTheme="minorEastAsia" w:hAnsiTheme="minorEastAsia"/>
                <w:color w:val="FF0000"/>
                <w:u w:val="single"/>
              </w:rPr>
              <w:t>単位数量当たりの補填金の額</w:t>
            </w:r>
            <w:r w:rsidRPr="00041FEE">
              <w:rPr>
                <w:rFonts w:asciiTheme="minorEastAsia" w:eastAsiaTheme="minorEastAsia" w:hAnsiTheme="minorEastAsia"/>
              </w:rPr>
              <w:t>に、加入者及びその事業参加者ごとの当該月の</w:t>
            </w:r>
            <w:r w:rsidRPr="00041FEE">
              <w:rPr>
                <w:rFonts w:asciiTheme="minorEastAsia" w:eastAsiaTheme="minorEastAsia" w:hAnsiTheme="minorEastAsia"/>
                <w:color w:val="auto"/>
              </w:rPr>
              <w:t>補填対象の燃油数量（購入実績数量に補填対象の割合を乗じた数量）を乗じて得た額を補填</w:t>
            </w:r>
            <w:r w:rsidRPr="00041FEE">
              <w:rPr>
                <w:rFonts w:asciiTheme="minorEastAsia" w:eastAsiaTheme="minorEastAsia" w:hAnsiTheme="minorEastAsia"/>
                <w:color w:val="auto"/>
              </w:rPr>
              <w:lastRenderedPageBreak/>
              <w:t>金として加入者に交付するものとする。</w:t>
            </w:r>
          </w:p>
          <w:p w14:paraId="664EC7A4" w14:textId="77777777" w:rsidR="005F196D" w:rsidRPr="00041FEE" w:rsidRDefault="005F196D" w:rsidP="005F196D">
            <w:pPr>
              <w:ind w:left="283" w:hangingChars="118" w:hanging="283"/>
              <w:jc w:val="left"/>
              <w:rPr>
                <w:rFonts w:asciiTheme="minorEastAsia" w:eastAsiaTheme="minorEastAsia" w:hAnsiTheme="minorEastAsia" w:hint="default"/>
                <w:color w:val="auto"/>
              </w:rPr>
            </w:pPr>
          </w:p>
          <w:p w14:paraId="31C7F130" w14:textId="77777777" w:rsidR="005F196D" w:rsidRPr="00041FEE" w:rsidRDefault="005F196D" w:rsidP="005F196D">
            <w:pPr>
              <w:ind w:left="283" w:hangingChars="118" w:hanging="283"/>
              <w:jc w:val="left"/>
              <w:rPr>
                <w:rFonts w:asciiTheme="minorEastAsia" w:eastAsiaTheme="minorEastAsia" w:hAnsiTheme="minorEastAsia" w:hint="default"/>
              </w:rPr>
            </w:pPr>
            <w:r w:rsidRPr="00041FEE">
              <w:rPr>
                <w:rFonts w:asciiTheme="minorEastAsia" w:eastAsiaTheme="minorEastAsia" w:hAnsiTheme="minorEastAsia"/>
                <w:color w:val="auto"/>
              </w:rPr>
              <w:t>２　協議会は、対象期間の当該都道府県下の平均気温等を踏まえ、事業主体要領第１９条に基づき、事業年度当初</w:t>
            </w:r>
            <w:r w:rsidRPr="0071075A">
              <w:rPr>
                <w:rFonts w:asciiTheme="minorEastAsia" w:eastAsiaTheme="minorEastAsia" w:hAnsiTheme="minorEastAsia"/>
                <w:color w:val="FF0000"/>
                <w:u w:val="single"/>
              </w:rPr>
              <w:t>に事業主体に対しセーフティネットの発動基準率の特別な設定</w:t>
            </w:r>
            <w:r w:rsidRPr="00041FEE">
              <w:rPr>
                <w:rFonts w:asciiTheme="minorEastAsia" w:eastAsiaTheme="minorEastAsia" w:hAnsiTheme="minorEastAsia"/>
              </w:rPr>
              <w:t>を申し出るものとする。</w:t>
            </w:r>
          </w:p>
          <w:p w14:paraId="2D6C75D3" w14:textId="77777777" w:rsidR="00782A07" w:rsidRPr="00041FEE" w:rsidRDefault="00782A07" w:rsidP="007179BF">
            <w:pPr>
              <w:ind w:left="283" w:hangingChars="118" w:hanging="283"/>
              <w:jc w:val="left"/>
              <w:rPr>
                <w:rFonts w:asciiTheme="minorEastAsia" w:eastAsiaTheme="minorEastAsia" w:hAnsiTheme="minorEastAsia" w:hint="default"/>
                <w:color w:val="auto"/>
              </w:rPr>
            </w:pPr>
          </w:p>
          <w:p w14:paraId="31694330" w14:textId="482459AC" w:rsidR="00A06CBE" w:rsidRPr="00041FEE" w:rsidRDefault="00284623" w:rsidP="00284623">
            <w:pPr>
              <w:ind w:left="283" w:hangingChars="118" w:hanging="283"/>
              <w:jc w:val="left"/>
              <w:rPr>
                <w:rFonts w:asciiTheme="minorEastAsia" w:eastAsiaTheme="minorEastAsia" w:hAnsiTheme="minorEastAsia" w:hint="default"/>
                <w:color w:val="auto"/>
              </w:rPr>
            </w:pPr>
            <w:r w:rsidRPr="00041FEE">
              <w:rPr>
                <w:rFonts w:asciiTheme="minorEastAsia" w:eastAsiaTheme="minorEastAsia" w:hAnsiTheme="minorEastAsia"/>
                <w:color w:val="auto"/>
              </w:rPr>
              <w:t>第１９条～</w:t>
            </w:r>
            <w:r w:rsidR="007179BF" w:rsidRPr="00041FEE">
              <w:rPr>
                <w:rFonts w:asciiTheme="minorEastAsia" w:eastAsiaTheme="minorEastAsia" w:hAnsiTheme="minorEastAsia"/>
                <w:color w:val="auto"/>
              </w:rPr>
              <w:t>第２</w:t>
            </w:r>
            <w:r w:rsidR="00041FEE" w:rsidRPr="00041FEE">
              <w:rPr>
                <w:rFonts w:asciiTheme="minorEastAsia" w:eastAsiaTheme="minorEastAsia" w:hAnsiTheme="minorEastAsia"/>
                <w:color w:val="auto"/>
              </w:rPr>
              <w:t>３</w:t>
            </w:r>
            <w:r w:rsidR="007179BF" w:rsidRPr="00041FEE">
              <w:rPr>
                <w:rFonts w:asciiTheme="minorEastAsia" w:eastAsiaTheme="minorEastAsia" w:hAnsiTheme="minorEastAsia"/>
                <w:color w:val="auto"/>
              </w:rPr>
              <w:t>条</w:t>
            </w:r>
            <w:r w:rsidR="00E34BD6" w:rsidRPr="00041FEE">
              <w:rPr>
                <w:rFonts w:asciiTheme="minorEastAsia" w:eastAsiaTheme="minorEastAsia" w:hAnsiTheme="minorEastAsia"/>
                <w:color w:val="auto"/>
              </w:rPr>
              <w:t xml:space="preserve">　　（略）</w:t>
            </w:r>
          </w:p>
          <w:p w14:paraId="65E81FF6" w14:textId="77777777" w:rsidR="00041FEE" w:rsidRPr="00041FEE" w:rsidRDefault="00041FEE" w:rsidP="00284623">
            <w:pPr>
              <w:ind w:left="283" w:hangingChars="118" w:hanging="283"/>
              <w:jc w:val="left"/>
              <w:rPr>
                <w:rFonts w:asciiTheme="minorEastAsia" w:eastAsiaTheme="minorEastAsia" w:hAnsiTheme="minorEastAsia" w:hint="default"/>
                <w:color w:val="auto"/>
              </w:rPr>
            </w:pPr>
          </w:p>
          <w:p w14:paraId="171908B2" w14:textId="77777777" w:rsidR="00041FEE" w:rsidRPr="00041FEE" w:rsidRDefault="00041FEE" w:rsidP="00041FEE">
            <w:pPr>
              <w:ind w:left="283" w:hangingChars="118" w:hanging="283"/>
              <w:jc w:val="left"/>
              <w:textAlignment w:val="auto"/>
              <w:rPr>
                <w:rFonts w:cs="Times New Roman" w:hint="default"/>
                <w:color w:val="auto"/>
                <w:kern w:val="2"/>
                <w:szCs w:val="22"/>
              </w:rPr>
            </w:pPr>
            <w:r w:rsidRPr="00041FEE">
              <w:rPr>
                <w:rFonts w:cs="Times New Roman"/>
                <w:color w:val="auto"/>
                <w:kern w:val="2"/>
                <w:szCs w:val="22"/>
              </w:rPr>
              <w:t>（留意事項）</w:t>
            </w:r>
          </w:p>
          <w:p w14:paraId="366F45AB" w14:textId="77777777" w:rsidR="00041FEE" w:rsidRPr="00041FEE" w:rsidRDefault="00041FEE" w:rsidP="00041FEE">
            <w:pPr>
              <w:textAlignment w:val="auto"/>
              <w:rPr>
                <w:rFonts w:cs="Times New Roman" w:hint="default"/>
                <w:color w:val="auto"/>
                <w:spacing w:val="6"/>
                <w:szCs w:val="24"/>
              </w:rPr>
            </w:pPr>
            <w:r w:rsidRPr="00041FEE">
              <w:rPr>
                <w:rFonts w:cs="Times New Roman"/>
                <w:color w:val="auto"/>
                <w:kern w:val="2"/>
                <w:szCs w:val="22"/>
              </w:rPr>
              <w:t>第２４条</w:t>
            </w:r>
            <w:r w:rsidRPr="00041FEE">
              <w:rPr>
                <w:rFonts w:cs="Times New Roman"/>
                <w:color w:val="auto"/>
                <w:kern w:val="2"/>
                <w:szCs w:val="24"/>
              </w:rPr>
              <w:t xml:space="preserve">　</w:t>
            </w:r>
            <w:r w:rsidRPr="00041FEE">
              <w:rPr>
                <w:rFonts w:cs="ＭＳ 明朝"/>
                <w:color w:val="auto"/>
                <w:szCs w:val="24"/>
              </w:rPr>
              <w:t>対策の実施に当たっては、以下の事項に留意するものとする。</w:t>
            </w:r>
          </w:p>
          <w:p w14:paraId="52A58E6B" w14:textId="77777777" w:rsidR="00041FEE" w:rsidRPr="00041FEE" w:rsidRDefault="00041FEE" w:rsidP="00041FEE">
            <w:pPr>
              <w:jc w:val="left"/>
              <w:rPr>
                <w:rFonts w:hint="default"/>
                <w:color w:val="auto"/>
                <w:szCs w:val="24"/>
              </w:rPr>
            </w:pPr>
            <w:r w:rsidRPr="00041FEE">
              <w:rPr>
                <w:rFonts w:cs="ＭＳ 明朝"/>
                <w:color w:val="auto"/>
                <w:szCs w:val="24"/>
              </w:rPr>
              <w:t>（１）</w:t>
            </w:r>
            <w:r w:rsidRPr="00041FEE">
              <w:rPr>
                <w:color w:val="auto"/>
                <w:spacing w:val="-1"/>
                <w:szCs w:val="24"/>
              </w:rPr>
              <w:t>経営の安定を図るための各種制度の積極的活用</w:t>
            </w:r>
          </w:p>
          <w:p w14:paraId="34558EBD" w14:textId="7C473410" w:rsidR="00041FEE" w:rsidRPr="00041FEE" w:rsidRDefault="00041FEE" w:rsidP="00041FEE">
            <w:pPr>
              <w:ind w:leftChars="178" w:left="427" w:firstLineChars="118" w:firstLine="283"/>
              <w:jc w:val="left"/>
              <w:rPr>
                <w:rFonts w:hint="default"/>
                <w:color w:val="auto"/>
                <w:spacing w:val="-1"/>
                <w:szCs w:val="24"/>
              </w:rPr>
            </w:pPr>
            <w:r w:rsidRPr="00041FEE">
              <w:rPr>
                <w:color w:val="auto"/>
                <w:szCs w:val="24"/>
              </w:rPr>
              <w:t>事業の継続的な効果の発現及び経営の安定を図る観点から、</w:t>
            </w:r>
            <w:r w:rsidRPr="00D4242B">
              <w:rPr>
                <w:color w:val="FF0000"/>
                <w:szCs w:val="24"/>
                <w:u w:val="single"/>
              </w:rPr>
              <w:t>事業実施者</w:t>
            </w:r>
            <w:r w:rsidRPr="00041FEE">
              <w:rPr>
                <w:color w:val="auto"/>
                <w:szCs w:val="24"/>
              </w:rPr>
              <w:t>は、農業共済組合等と連携し、支援対象者又は事業参加者に対し、経営の安定を図るため、農業共済、農業経営収入保険その他の農業関係の保険への積極的な加入を促すものとする</w:t>
            </w:r>
            <w:r w:rsidRPr="00041FEE">
              <w:rPr>
                <w:color w:val="auto"/>
                <w:spacing w:val="-1"/>
                <w:szCs w:val="24"/>
              </w:rPr>
              <w:t>。</w:t>
            </w:r>
          </w:p>
          <w:p w14:paraId="620122F3" w14:textId="77777777" w:rsidR="00041FEE" w:rsidRPr="00041FEE" w:rsidRDefault="00041FEE" w:rsidP="00284623">
            <w:pPr>
              <w:ind w:left="283" w:hangingChars="118" w:hanging="283"/>
              <w:jc w:val="left"/>
              <w:rPr>
                <w:rFonts w:hint="default"/>
                <w:color w:val="auto"/>
              </w:rPr>
            </w:pPr>
          </w:p>
          <w:p w14:paraId="2DE67B74" w14:textId="4E279E86" w:rsidR="00041FEE" w:rsidRPr="00041FEE" w:rsidRDefault="00041FEE" w:rsidP="00041FEE">
            <w:pPr>
              <w:ind w:left="283" w:hangingChars="118" w:hanging="283"/>
              <w:jc w:val="left"/>
              <w:rPr>
                <w:rFonts w:hint="default"/>
                <w:color w:val="auto"/>
              </w:rPr>
            </w:pPr>
            <w:r w:rsidRPr="00041FEE">
              <w:rPr>
                <w:color w:val="auto"/>
              </w:rPr>
              <w:t>第２４条第２項～第２５条　　　（略）</w:t>
            </w:r>
          </w:p>
          <w:p w14:paraId="34F0DAC6" w14:textId="260F8BA2" w:rsidR="00041FEE" w:rsidRPr="00041FEE" w:rsidRDefault="00041FEE" w:rsidP="00284623">
            <w:pPr>
              <w:ind w:left="283" w:hangingChars="118" w:hanging="283"/>
              <w:jc w:val="left"/>
              <w:rPr>
                <w:rFonts w:asciiTheme="minorEastAsia" w:eastAsiaTheme="minorEastAsia" w:hAnsiTheme="minorEastAsia" w:hint="default"/>
              </w:rPr>
            </w:pPr>
          </w:p>
        </w:tc>
      </w:tr>
    </w:tbl>
    <w:p w14:paraId="4D76DFA2" w14:textId="33900026" w:rsidR="001E4A7A" w:rsidRPr="00E34BD6" w:rsidRDefault="00E34BD6" w:rsidP="007E56DE">
      <w:pPr>
        <w:pStyle w:val="Word"/>
        <w:jc w:val="left"/>
        <w:rPr>
          <w:rFonts w:hint="default"/>
          <w:color w:val="FF0000"/>
          <w:sz w:val="20"/>
          <w:u w:val="single"/>
        </w:rPr>
      </w:pPr>
      <w:r w:rsidRPr="00E34BD6">
        <w:rPr>
          <w:color w:val="FF0000"/>
          <w:sz w:val="20"/>
          <w:u w:val="single"/>
        </w:rPr>
        <w:lastRenderedPageBreak/>
        <w:t>附則　この業務方法書の変更は、</w:t>
      </w:r>
      <w:r w:rsidR="00782A07">
        <w:rPr>
          <w:color w:val="FF0000"/>
          <w:sz w:val="20"/>
          <w:u w:val="single"/>
        </w:rPr>
        <w:t>令和</w:t>
      </w:r>
      <w:r w:rsidR="00041FEE">
        <w:rPr>
          <w:color w:val="FF0000"/>
          <w:sz w:val="20"/>
          <w:u w:val="single"/>
        </w:rPr>
        <w:t>３</w:t>
      </w:r>
      <w:r w:rsidRPr="00E34BD6">
        <w:rPr>
          <w:color w:val="FF0000"/>
          <w:sz w:val="20"/>
          <w:u w:val="single"/>
        </w:rPr>
        <w:t>年　　月　　日（事業主体の承認を受けた日）から施行する。</w:t>
      </w:r>
    </w:p>
    <w:p w14:paraId="646E17ED" w14:textId="77777777" w:rsidR="007179BF" w:rsidRPr="001C42C0" w:rsidRDefault="007179BF">
      <w:pPr>
        <w:pStyle w:val="Word"/>
        <w:jc w:val="left"/>
        <w:rPr>
          <w:rFonts w:hint="default"/>
        </w:rPr>
      </w:pPr>
    </w:p>
    <w:sectPr w:rsidR="007179BF" w:rsidRPr="001C42C0" w:rsidSect="0012048C">
      <w:footerReference w:type="even" r:id="rId8"/>
      <w:footerReference w:type="default" r:id="rId9"/>
      <w:endnotePr>
        <w:numFmt w:val="decimal"/>
      </w:endnotePr>
      <w:pgSz w:w="16836" w:h="11904" w:orient="landscape"/>
      <w:pgMar w:top="1417" w:right="1417" w:bottom="1417" w:left="1417" w:header="624" w:footer="553" w:gutter="0"/>
      <w:cols w:space="720"/>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2D36E" w14:textId="77777777" w:rsidR="00645550" w:rsidRDefault="00645550">
      <w:pPr>
        <w:spacing w:before="44"/>
        <w:rPr>
          <w:rFonts w:hint="default"/>
        </w:rPr>
      </w:pPr>
      <w:r>
        <w:continuationSeparator/>
      </w:r>
    </w:p>
  </w:endnote>
  <w:endnote w:type="continuationSeparator" w:id="0">
    <w:p w14:paraId="402BFD34" w14:textId="77777777" w:rsidR="00645550" w:rsidRDefault="00645550">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BC1D6" w14:textId="77777777" w:rsidR="0000655A" w:rsidRDefault="0000655A">
    <w:pPr>
      <w:pStyle w:val="a6"/>
      <w:tabs>
        <w:tab w:val="center" w:pos="4257"/>
        <w:tab w:val="right" w:pos="8508"/>
      </w:tabs>
      <w:spacing w:line="311" w:lineRule="exact"/>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8C62F" w14:textId="77777777" w:rsidR="0000655A" w:rsidRDefault="0000655A">
    <w:pPr>
      <w:pStyle w:val="a6"/>
      <w:tabs>
        <w:tab w:val="center" w:pos="4257"/>
        <w:tab w:val="right" w:pos="8508"/>
      </w:tabs>
      <w:spacing w:line="311" w:lineRule="exac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8C346" w14:textId="77777777" w:rsidR="00645550" w:rsidRDefault="00645550">
      <w:pPr>
        <w:spacing w:before="44"/>
        <w:rPr>
          <w:rFonts w:hint="default"/>
        </w:rPr>
      </w:pPr>
      <w:r>
        <w:continuationSeparator/>
      </w:r>
    </w:p>
  </w:footnote>
  <w:footnote w:type="continuationSeparator" w:id="0">
    <w:p w14:paraId="094C063A" w14:textId="77777777" w:rsidR="00645550" w:rsidRDefault="00645550">
      <w:pPr>
        <w:spacing w:before="4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5066AF"/>
    <w:multiLevelType w:val="hybridMultilevel"/>
    <w:tmpl w:val="ED60F950"/>
    <w:lvl w:ilvl="0" w:tplc="97EE27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959"/>
  <w:hyphenationZone w:val="0"/>
  <w:drawingGridHorizontalSpacing w:val="120"/>
  <w:drawingGridVerticalSpacing w:val="341"/>
  <w:displayHorizontalDrawingGridEvery w:val="0"/>
  <w:doNotShadeFormData/>
  <w:characterSpacingControl w:val="compressPunctuation"/>
  <w:noLineBreaksAfter w:lang="ja-JP" w:val="$([\{£¥‘“〈《「『【〔＄（［｛｢￡￥"/>
  <w:noLineBreaksBefore w:lang="ja-JP" w:val="!%),.:;?]}¢°’”‰′″℃、。々〉》」』】〕゛゜ゝゞ・ヽヾ！％），．：；？］｝｡｣､･ﾞﾟ￠"/>
  <w:hdrShapeDefaults>
    <o:shapedefaults v:ext="edit" spidmax="23553">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3E9"/>
    <w:rsid w:val="0000655A"/>
    <w:rsid w:val="00041FEE"/>
    <w:rsid w:val="000923E9"/>
    <w:rsid w:val="000951A7"/>
    <w:rsid w:val="000A67A4"/>
    <w:rsid w:val="0012048C"/>
    <w:rsid w:val="00133009"/>
    <w:rsid w:val="00155649"/>
    <w:rsid w:val="001A7ABD"/>
    <w:rsid w:val="001B446B"/>
    <w:rsid w:val="001B7725"/>
    <w:rsid w:val="001C42C0"/>
    <w:rsid w:val="001E4A7A"/>
    <w:rsid w:val="00207F06"/>
    <w:rsid w:val="002272D4"/>
    <w:rsid w:val="00232FC0"/>
    <w:rsid w:val="00232FC8"/>
    <w:rsid w:val="00241CA1"/>
    <w:rsid w:val="00284623"/>
    <w:rsid w:val="002B060E"/>
    <w:rsid w:val="002C3902"/>
    <w:rsid w:val="002E3ACD"/>
    <w:rsid w:val="002F7FC0"/>
    <w:rsid w:val="00312980"/>
    <w:rsid w:val="00361FD2"/>
    <w:rsid w:val="003760D0"/>
    <w:rsid w:val="00387F59"/>
    <w:rsid w:val="003B50D3"/>
    <w:rsid w:val="003D1DD8"/>
    <w:rsid w:val="003F3969"/>
    <w:rsid w:val="00415F25"/>
    <w:rsid w:val="004172F3"/>
    <w:rsid w:val="00440690"/>
    <w:rsid w:val="004420B1"/>
    <w:rsid w:val="0045540E"/>
    <w:rsid w:val="00493B1A"/>
    <w:rsid w:val="00497DA8"/>
    <w:rsid w:val="004A1A21"/>
    <w:rsid w:val="004E5F59"/>
    <w:rsid w:val="004E7A87"/>
    <w:rsid w:val="004F4FA8"/>
    <w:rsid w:val="00504DC7"/>
    <w:rsid w:val="005056CF"/>
    <w:rsid w:val="00514725"/>
    <w:rsid w:val="00524035"/>
    <w:rsid w:val="00561313"/>
    <w:rsid w:val="00564296"/>
    <w:rsid w:val="00564434"/>
    <w:rsid w:val="005A793F"/>
    <w:rsid w:val="005B07ED"/>
    <w:rsid w:val="005D0D82"/>
    <w:rsid w:val="005D3235"/>
    <w:rsid w:val="005F196D"/>
    <w:rsid w:val="00611F76"/>
    <w:rsid w:val="0062353B"/>
    <w:rsid w:val="00645550"/>
    <w:rsid w:val="006B0E3B"/>
    <w:rsid w:val="006F7D54"/>
    <w:rsid w:val="0071075A"/>
    <w:rsid w:val="007179BF"/>
    <w:rsid w:val="00752F8B"/>
    <w:rsid w:val="007570FE"/>
    <w:rsid w:val="00782A07"/>
    <w:rsid w:val="007A7647"/>
    <w:rsid w:val="007B18C1"/>
    <w:rsid w:val="007C1207"/>
    <w:rsid w:val="007D4169"/>
    <w:rsid w:val="007E56DE"/>
    <w:rsid w:val="007F6C04"/>
    <w:rsid w:val="00806529"/>
    <w:rsid w:val="00817159"/>
    <w:rsid w:val="008443CE"/>
    <w:rsid w:val="0085075D"/>
    <w:rsid w:val="00852309"/>
    <w:rsid w:val="0087225F"/>
    <w:rsid w:val="008907FA"/>
    <w:rsid w:val="008969FD"/>
    <w:rsid w:val="008B3EBF"/>
    <w:rsid w:val="008C3C33"/>
    <w:rsid w:val="008F1A93"/>
    <w:rsid w:val="009521AE"/>
    <w:rsid w:val="0097560E"/>
    <w:rsid w:val="009B1D8E"/>
    <w:rsid w:val="009D166B"/>
    <w:rsid w:val="009D3A6C"/>
    <w:rsid w:val="009D4DBD"/>
    <w:rsid w:val="00A06CBE"/>
    <w:rsid w:val="00A22102"/>
    <w:rsid w:val="00A6218D"/>
    <w:rsid w:val="00A7098A"/>
    <w:rsid w:val="00A773E3"/>
    <w:rsid w:val="00AA06F5"/>
    <w:rsid w:val="00AA4CAA"/>
    <w:rsid w:val="00AD2385"/>
    <w:rsid w:val="00B05C5B"/>
    <w:rsid w:val="00B2029C"/>
    <w:rsid w:val="00B2276E"/>
    <w:rsid w:val="00B4275D"/>
    <w:rsid w:val="00B5798A"/>
    <w:rsid w:val="00B6349E"/>
    <w:rsid w:val="00BA3E48"/>
    <w:rsid w:val="00BB1FF3"/>
    <w:rsid w:val="00BC4D48"/>
    <w:rsid w:val="00BC6477"/>
    <w:rsid w:val="00BD40D5"/>
    <w:rsid w:val="00C07A8C"/>
    <w:rsid w:val="00C14269"/>
    <w:rsid w:val="00C157C9"/>
    <w:rsid w:val="00CD174C"/>
    <w:rsid w:val="00D10586"/>
    <w:rsid w:val="00D349D3"/>
    <w:rsid w:val="00D4242B"/>
    <w:rsid w:val="00DA63A2"/>
    <w:rsid w:val="00E053D9"/>
    <w:rsid w:val="00E0663B"/>
    <w:rsid w:val="00E07459"/>
    <w:rsid w:val="00E34BD6"/>
    <w:rsid w:val="00E55CAB"/>
    <w:rsid w:val="00E70428"/>
    <w:rsid w:val="00E7331C"/>
    <w:rsid w:val="00EB2C24"/>
    <w:rsid w:val="00F116D2"/>
    <w:rsid w:val="00F81332"/>
    <w:rsid w:val="00F856B6"/>
    <w:rsid w:val="00FC4C0F"/>
    <w:rsid w:val="00FD508F"/>
    <w:rsid w:val="00FF7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A055FBC"/>
  <w15:docId w15:val="{2E297D00-D9AB-4CCA-9374-CDB2D2D0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UI Gothic" w:eastAsia="MS UI Gothic" w:hAnsi="MS UI Gothic" w:cs="MS UI Gothic"/>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ascii="ＭＳ 明朝" w:eastAsia="ＭＳ 明朝" w:hAnsi="ＭＳ 明朝" w:hint="eastAsia"/>
      <w:color w:val="000000"/>
      <w:sz w:val="24"/>
    </w:rPr>
  </w:style>
  <w:style w:type="paragraph" w:styleId="1">
    <w:name w:val="heading 1"/>
    <w:basedOn w:val="a"/>
    <w:next w:val="a"/>
    <w:link w:val="10"/>
    <w:uiPriority w:val="9"/>
    <w:qFormat/>
    <w:rsid w:val="008443CE"/>
    <w:pPr>
      <w:keepNext/>
      <w:textAlignment w:val="auto"/>
      <w:outlineLvl w:val="0"/>
    </w:pPr>
    <w:rPr>
      <w:rFonts w:asciiTheme="majorHAnsi" w:eastAsiaTheme="majorEastAsia" w:hAnsiTheme="majorHAnsi" w:cstheme="majorBidi" w:hint="default"/>
      <w:color w:val="auto"/>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1">
    <w:name w:val="標準の表1"/>
    <w:basedOn w:val="a"/>
    <w:rPr>
      <w:sz w:val="20"/>
    </w:rPr>
  </w:style>
  <w:style w:type="character" w:customStyle="1" w:styleId="12">
    <w:name w:val="リストなし1"/>
    <w:rPr>
      <w:sz w:val="20"/>
    </w:rPr>
  </w:style>
  <w:style w:type="paragraph" w:styleId="a4">
    <w:name w:val="header"/>
    <w:basedOn w:val="a"/>
    <w:pPr>
      <w:snapToGrid w:val="0"/>
    </w:pPr>
  </w:style>
  <w:style w:type="character" w:customStyle="1" w:styleId="a5">
    <w:name w:val="ヘッダー (文字)"/>
    <w:rPr>
      <w:sz w:val="20"/>
    </w:rPr>
  </w:style>
  <w:style w:type="paragraph" w:styleId="a6">
    <w:name w:val="footer"/>
    <w:basedOn w:val="a"/>
    <w:pPr>
      <w:snapToGrid w:val="0"/>
    </w:pPr>
  </w:style>
  <w:style w:type="character" w:customStyle="1" w:styleId="a7">
    <w:name w:val="フッター (文字)"/>
    <w:rPr>
      <w:sz w:val="20"/>
    </w:rPr>
  </w:style>
  <w:style w:type="paragraph" w:customStyle="1" w:styleId="13">
    <w:name w:val="表 (格子)1"/>
    <w:basedOn w:val="a"/>
    <w:rPr>
      <w:sz w:val="20"/>
    </w:rPr>
  </w:style>
  <w:style w:type="paragraph" w:styleId="a8">
    <w:name w:val="Balloon Text"/>
    <w:basedOn w:val="a"/>
    <w:rPr>
      <w:rFonts w:ascii="Arial" w:eastAsia="ＭＳ ゴシック" w:hAnsi="Arial"/>
      <w:sz w:val="18"/>
    </w:rPr>
  </w:style>
  <w:style w:type="character" w:customStyle="1" w:styleId="a9">
    <w:name w:val="吹き出し (文字)"/>
    <w:rPr>
      <w:rFonts w:ascii="Arial" w:eastAsia="ＭＳ ゴシック" w:hAnsi="Arial"/>
      <w:sz w:val="18"/>
    </w:rPr>
  </w:style>
  <w:style w:type="paragraph" w:styleId="aa">
    <w:name w:val="List Paragraph"/>
    <w:basedOn w:val="a"/>
    <w:qFormat/>
    <w:pPr>
      <w:ind w:left="959"/>
    </w:pPr>
  </w:style>
  <w:style w:type="paragraph" w:customStyle="1" w:styleId="Word">
    <w:name w:val="標準；(Word文書)"/>
    <w:basedOn w:val="a"/>
  </w:style>
  <w:style w:type="character" w:customStyle="1" w:styleId="10">
    <w:name w:val="見出し 1 (文字)"/>
    <w:basedOn w:val="a0"/>
    <w:link w:val="1"/>
    <w:uiPriority w:val="9"/>
    <w:rsid w:val="008443CE"/>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974340">
      <w:bodyDiv w:val="1"/>
      <w:marLeft w:val="0"/>
      <w:marRight w:val="0"/>
      <w:marTop w:val="0"/>
      <w:marBottom w:val="0"/>
      <w:divBdr>
        <w:top w:val="none" w:sz="0" w:space="0" w:color="auto"/>
        <w:left w:val="none" w:sz="0" w:space="0" w:color="auto"/>
        <w:bottom w:val="none" w:sz="0" w:space="0" w:color="auto"/>
        <w:right w:val="none" w:sz="0" w:space="0" w:color="auto"/>
      </w:divBdr>
    </w:div>
    <w:div w:id="158849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A3E0D-9980-404F-A7D8-8DF3A656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3206</Words>
  <Characters>289</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user</cp:lastModifiedBy>
  <cp:revision>11</cp:revision>
  <cp:lastPrinted>2021-01-28T02:18:00Z</cp:lastPrinted>
  <dcterms:created xsi:type="dcterms:W3CDTF">2021-01-06T04:51:00Z</dcterms:created>
  <dcterms:modified xsi:type="dcterms:W3CDTF">2021-01-28T02:19:00Z</dcterms:modified>
</cp:coreProperties>
</file>